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63" w:rsidRDefault="00A537F7" w:rsidP="00B04C72">
      <w:pPr>
        <w:pStyle w:val="a9"/>
        <w:jc w:val="center"/>
        <w:rPr>
          <w:rFonts w:ascii="Times New Roman" w:eastAsia="標楷體" w:hAnsi="Times New Roman"/>
          <w:b/>
          <w:sz w:val="32"/>
          <w:szCs w:val="28"/>
        </w:rPr>
      </w:pPr>
      <w:bookmarkStart w:id="0" w:name="_GoBack"/>
      <w:bookmarkEnd w:id="0"/>
      <w:r w:rsidRPr="006758B2">
        <w:rPr>
          <w:rFonts w:ascii="Times New Roman" w:eastAsia="標楷體" w:hAnsi="Times New Roman" w:hint="eastAsia"/>
          <w:b/>
          <w:sz w:val="32"/>
          <w:szCs w:val="28"/>
        </w:rPr>
        <w:t>國立</w:t>
      </w:r>
      <w:r w:rsidR="0008214E">
        <w:rPr>
          <w:rFonts w:ascii="Times New Roman" w:eastAsia="標楷體" w:hAnsi="Times New Roman" w:hint="eastAsia"/>
          <w:b/>
          <w:sz w:val="32"/>
          <w:szCs w:val="28"/>
        </w:rPr>
        <w:t>東港</w:t>
      </w:r>
      <w:r w:rsidRPr="006758B2">
        <w:rPr>
          <w:rFonts w:ascii="Times New Roman" w:eastAsia="標楷體" w:hAnsi="Times New Roman" w:hint="eastAsia"/>
          <w:b/>
          <w:sz w:val="32"/>
          <w:szCs w:val="28"/>
        </w:rPr>
        <w:t>高級</w:t>
      </w:r>
      <w:r w:rsidR="0008214E">
        <w:rPr>
          <w:rFonts w:ascii="Times New Roman" w:eastAsia="標楷體" w:hAnsi="Times New Roman" w:hint="eastAsia"/>
          <w:b/>
          <w:sz w:val="32"/>
          <w:szCs w:val="28"/>
        </w:rPr>
        <w:t>海事水產</w:t>
      </w:r>
      <w:r w:rsidRPr="006758B2">
        <w:rPr>
          <w:rFonts w:ascii="Times New Roman" w:eastAsia="標楷體" w:hAnsi="Times New Roman" w:hint="eastAsia"/>
          <w:b/>
          <w:sz w:val="32"/>
          <w:szCs w:val="28"/>
        </w:rPr>
        <w:t>職業學校工作場所母性健康保護計畫</w:t>
      </w:r>
    </w:p>
    <w:p w:rsidR="00D97A47" w:rsidRPr="0008214E" w:rsidRDefault="00D97A47" w:rsidP="00D97A47">
      <w:pPr>
        <w:widowControl/>
        <w:snapToGrid w:val="0"/>
        <w:jc w:val="right"/>
        <w:rPr>
          <w:rFonts w:ascii="Times New Roman" w:eastAsia="標楷體" w:hAnsi="Times New Roman" w:cs="Times New Roman"/>
          <w:b/>
          <w:color w:val="008000"/>
          <w:sz w:val="20"/>
          <w:szCs w:val="20"/>
        </w:rPr>
      </w:pPr>
      <w:r w:rsidRPr="0008214E">
        <w:rPr>
          <w:rFonts w:ascii="Times New Roman" w:eastAsia="標楷體" w:hAnsi="Times New Roman" w:cs="Times New Roman"/>
          <w:b/>
          <w:color w:val="008000"/>
          <w:sz w:val="20"/>
          <w:szCs w:val="20"/>
        </w:rPr>
        <w:t>中華民國</w:t>
      </w:r>
      <w:r w:rsidRPr="0008214E">
        <w:rPr>
          <w:rFonts w:ascii="Times New Roman" w:eastAsia="標楷體" w:hAnsi="Times New Roman" w:cs="Times New Roman"/>
          <w:b/>
          <w:color w:val="008000"/>
          <w:sz w:val="20"/>
          <w:szCs w:val="20"/>
        </w:rPr>
        <w:t>10</w:t>
      </w:r>
      <w:r w:rsidR="0008214E" w:rsidRPr="0008214E">
        <w:rPr>
          <w:rFonts w:ascii="Times New Roman" w:eastAsia="標楷體" w:hAnsi="Times New Roman" w:cs="Times New Roman" w:hint="eastAsia"/>
          <w:b/>
          <w:color w:val="008000"/>
          <w:sz w:val="20"/>
          <w:szCs w:val="20"/>
        </w:rPr>
        <w:t>8</w:t>
      </w:r>
      <w:r w:rsidRPr="0008214E">
        <w:rPr>
          <w:rFonts w:ascii="Times New Roman" w:eastAsia="標楷體" w:hAnsi="Times New Roman" w:cs="Times New Roman"/>
          <w:b/>
          <w:color w:val="008000"/>
          <w:sz w:val="20"/>
          <w:szCs w:val="20"/>
        </w:rPr>
        <w:t>年</w:t>
      </w:r>
      <w:r w:rsidR="0008214E" w:rsidRPr="0008214E">
        <w:rPr>
          <w:rFonts w:ascii="Times New Roman" w:eastAsia="標楷體" w:hAnsi="Times New Roman" w:cs="Times New Roman" w:hint="eastAsia"/>
          <w:b/>
          <w:color w:val="008000"/>
          <w:sz w:val="20"/>
          <w:szCs w:val="20"/>
        </w:rPr>
        <w:t>○</w:t>
      </w:r>
      <w:r w:rsidRPr="0008214E">
        <w:rPr>
          <w:rFonts w:ascii="Times New Roman" w:eastAsia="標楷體" w:hAnsi="Times New Roman" w:cs="Times New Roman"/>
          <w:b/>
          <w:color w:val="008000"/>
          <w:sz w:val="20"/>
          <w:szCs w:val="20"/>
        </w:rPr>
        <w:t>月</w:t>
      </w:r>
      <w:r w:rsidR="0008214E" w:rsidRPr="0008214E">
        <w:rPr>
          <w:rFonts w:ascii="Times New Roman" w:eastAsia="標楷體" w:hAnsi="Times New Roman" w:cs="Times New Roman" w:hint="eastAsia"/>
          <w:b/>
          <w:color w:val="008000"/>
          <w:sz w:val="20"/>
          <w:szCs w:val="20"/>
        </w:rPr>
        <w:t>○</w:t>
      </w:r>
      <w:r w:rsidRPr="0008214E">
        <w:rPr>
          <w:rFonts w:ascii="Times New Roman" w:eastAsia="標楷體" w:hAnsi="Times New Roman" w:cs="Times New Roman"/>
          <w:b/>
          <w:color w:val="008000"/>
          <w:sz w:val="20"/>
          <w:szCs w:val="20"/>
        </w:rPr>
        <w:t>日</w:t>
      </w:r>
      <w:proofErr w:type="gramStart"/>
      <w:r w:rsidRPr="0008214E">
        <w:rPr>
          <w:rFonts w:ascii="Times New Roman" w:eastAsia="標楷體" w:hAnsi="Times New Roman" w:cs="Times New Roman"/>
          <w:b/>
          <w:color w:val="008000"/>
          <w:sz w:val="20"/>
          <w:szCs w:val="20"/>
        </w:rPr>
        <w:t>10</w:t>
      </w:r>
      <w:r w:rsidR="0008214E" w:rsidRPr="0008214E">
        <w:rPr>
          <w:rFonts w:ascii="Times New Roman" w:eastAsia="標楷體" w:hAnsi="Times New Roman" w:cs="Times New Roman" w:hint="eastAsia"/>
          <w:b/>
          <w:color w:val="008000"/>
          <w:sz w:val="20"/>
          <w:szCs w:val="20"/>
        </w:rPr>
        <w:t>8</w:t>
      </w:r>
      <w:proofErr w:type="gramEnd"/>
      <w:r w:rsidRPr="0008214E">
        <w:rPr>
          <w:rFonts w:ascii="Times New Roman" w:eastAsia="標楷體" w:hAnsi="Times New Roman" w:cs="Times New Roman"/>
          <w:b/>
          <w:color w:val="008000"/>
          <w:sz w:val="20"/>
          <w:szCs w:val="20"/>
        </w:rPr>
        <w:t>年度第</w:t>
      </w:r>
      <w:r w:rsidR="00762735">
        <w:rPr>
          <w:rFonts w:ascii="Times New Roman" w:eastAsia="標楷體" w:hAnsi="Times New Roman" w:cs="Times New Roman" w:hint="eastAsia"/>
          <w:b/>
          <w:color w:val="008000"/>
          <w:sz w:val="20"/>
          <w:szCs w:val="20"/>
        </w:rPr>
        <w:t>○</w:t>
      </w:r>
      <w:r w:rsidRPr="0008214E">
        <w:rPr>
          <w:rFonts w:ascii="Times New Roman" w:eastAsia="標楷體" w:hAnsi="Times New Roman" w:cs="Times New Roman"/>
          <w:b/>
          <w:color w:val="008000"/>
          <w:sz w:val="20"/>
          <w:szCs w:val="20"/>
        </w:rPr>
        <w:t>次職業安全衛生工作小組訂定</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以確保懷孕、產後哺乳女性勞工之身心健康，達到母性勞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proofErr w:type="gramStart"/>
      <w:r w:rsidRPr="0093146C">
        <w:rPr>
          <w:rFonts w:ascii="Times New Roman" w:eastAsia="標楷體" w:hAnsi="Times New Roman" w:cs="Times New Roman" w:hint="eastAsia"/>
          <w:kern w:val="0"/>
          <w:szCs w:val="24"/>
        </w:rPr>
        <w:t>一</w:t>
      </w:r>
      <w:proofErr w:type="gramEnd"/>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母性健康保護：指對於女勞工從事有危害之虞之工作所採取之措施，包括危害評估與控制、醫師面談指導、風險分級管理、工作適性安排及其他相關措施。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母性健康保護期間：女性勞工妊娠日起至分娩後一年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適用對象</w:t>
      </w:r>
    </w:p>
    <w:p w:rsidR="00A26209" w:rsidRPr="00CA5FEB" w:rsidRDefault="00D65499" w:rsidP="00CA5FEB">
      <w:pPr>
        <w:pStyle w:val="a3"/>
        <w:numPr>
          <w:ilvl w:val="0"/>
          <w:numId w:val="29"/>
        </w:numPr>
        <w:autoSpaceDE w:val="0"/>
        <w:autoSpaceDN w:val="0"/>
        <w:ind w:leftChars="0"/>
        <w:rPr>
          <w:rFonts w:ascii="Times New Roman" w:eastAsia="標楷體" w:hAnsi="Times New Roman" w:cs="Times New Roman"/>
          <w:szCs w:val="24"/>
        </w:rPr>
      </w:pPr>
      <w:r w:rsidRPr="00CA5FEB">
        <w:rPr>
          <w:rFonts w:ascii="Times New Roman" w:eastAsia="標楷體" w:hAnsi="Times New Roman" w:cs="Times New Roman" w:hint="eastAsia"/>
          <w:szCs w:val="24"/>
        </w:rPr>
        <w:t>預期懷孕，妊娠中之女性教職</w:t>
      </w:r>
      <w:r w:rsidR="006F1728" w:rsidRPr="00CA5FEB">
        <w:rPr>
          <w:rFonts w:ascii="Times New Roman" w:eastAsia="標楷體" w:hAnsi="Times New Roman" w:cs="Times New Roman" w:hint="eastAsia"/>
          <w:szCs w:val="24"/>
        </w:rPr>
        <w:t>、</w:t>
      </w:r>
      <w:r w:rsidRPr="00CA5FEB">
        <w:rPr>
          <w:rFonts w:ascii="Times New Roman" w:eastAsia="標楷體" w:hAnsi="Times New Roman" w:cs="Times New Roman" w:hint="eastAsia"/>
          <w:szCs w:val="24"/>
        </w:rPr>
        <w:t>員工</w:t>
      </w:r>
      <w:r w:rsidR="006F1728" w:rsidRPr="00CA5FEB">
        <w:rPr>
          <w:rFonts w:ascii="Times New Roman" w:eastAsia="標楷體" w:hAnsi="Times New Roman" w:cs="Times New Roman" w:hint="eastAsia"/>
          <w:szCs w:val="24"/>
        </w:rPr>
        <w:t>及工讀學生</w:t>
      </w:r>
      <w:r w:rsidR="00CA5FEB">
        <w:rPr>
          <w:rFonts w:ascii="Times New Roman" w:eastAsia="標楷體" w:hAnsi="Times New Roman" w:cs="Times New Roman" w:hint="eastAsia"/>
          <w:szCs w:val="24"/>
        </w:rPr>
        <w:t>。</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分娩後之女性勞</w:t>
      </w:r>
      <w:r w:rsidR="008640F2">
        <w:rPr>
          <w:rFonts w:ascii="Times New Roman" w:eastAsia="標楷體" w:hAnsi="Times New Roman" w:cs="Times New Roman" w:hint="eastAsia"/>
          <w:szCs w:val="24"/>
        </w:rPr>
        <w:t>動者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proofErr w:type="gramStart"/>
      <w:r w:rsidR="00D65499" w:rsidRPr="0093146C">
        <w:rPr>
          <w:rFonts w:ascii="Times New Roman" w:eastAsia="標楷體" w:hAnsi="Times New Roman" w:cs="Times New Roman" w:hint="eastAsia"/>
          <w:szCs w:val="24"/>
        </w:rPr>
        <w:t>週後死產</w:t>
      </w:r>
      <w:proofErr w:type="gramEnd"/>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641899" w:rsidRPr="0093146C" w:rsidRDefault="00641899" w:rsidP="00D97A47">
      <w:pPr>
        <w:pStyle w:val="a3"/>
        <w:autoSpaceDE w:val="0"/>
        <w:autoSpaceDN w:val="0"/>
        <w:ind w:leftChars="0" w:left="567"/>
        <w:rPr>
          <w:rFonts w:ascii="Times New Roman" w:eastAsia="標楷體" w:hAnsi="Times New Roman" w:cs="Times New Roman"/>
          <w:szCs w:val="24"/>
        </w:rPr>
      </w:pPr>
      <w:r w:rsidRPr="0093146C">
        <w:rPr>
          <w:rFonts w:ascii="Times New Roman" w:eastAsia="標楷體" w:hAnsi="Times New Roman" w:cs="Times New Roman" w:hint="eastAsia"/>
          <w:szCs w:val="24"/>
        </w:rPr>
        <w:t>具有以上條件之女性教職</w:t>
      </w:r>
      <w:r w:rsidR="006F1728">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Pr="0093146C">
        <w:rPr>
          <w:rFonts w:ascii="Times New Roman" w:eastAsia="標楷體" w:hAnsi="Times New Roman" w:cs="Times New Roman" w:hint="eastAsia"/>
          <w:szCs w:val="24"/>
        </w:rPr>
        <w:t>，請主動告知人事室，</w:t>
      </w:r>
      <w:r w:rsidR="00D97A47" w:rsidRPr="0093146C">
        <w:rPr>
          <w:rFonts w:ascii="Times New Roman" w:eastAsia="標楷體" w:hAnsi="Times New Roman" w:cs="Times New Roman" w:hint="eastAsia"/>
          <w:szCs w:val="24"/>
        </w:rPr>
        <w:t>並將此計畫公告全校教職員，</w:t>
      </w:r>
      <w:r w:rsidRPr="0093146C">
        <w:rPr>
          <w:rFonts w:ascii="Times New Roman" w:eastAsia="標楷體" w:hAnsi="Times New Roman" w:cs="Times New Roman" w:hint="eastAsia"/>
          <w:szCs w:val="24"/>
        </w:rPr>
        <w:t>以保護母性健康。</w:t>
      </w:r>
    </w:p>
    <w:p w:rsidR="00A33D42" w:rsidRPr="004267A7" w:rsidRDefault="00B26B3B"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proofErr w:type="gramStart"/>
      <w:r w:rsidR="00C81CFE">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766E43" w:rsidRPr="00766E43">
        <w:rPr>
          <w:rFonts w:ascii="Times New Roman" w:eastAsia="標楷體" w:hAnsi="Times New Roman" w:cs="Times New Roman" w:hint="eastAsia"/>
          <w:color w:val="000000"/>
        </w:rPr>
        <w:t xml:space="preserve"> </w:t>
      </w:r>
      <w:r w:rsidR="00766E43">
        <w:rPr>
          <w:rFonts w:ascii="Times New Roman" w:eastAsia="標楷體" w:hAnsi="Times New Roman" w:cs="Times New Roman" w:hint="eastAsia"/>
          <w:color w:val="000000"/>
        </w:rPr>
        <w:t>人事</w:t>
      </w:r>
      <w:r w:rsidR="00766E43" w:rsidRPr="00C81CFE">
        <w:rPr>
          <w:rFonts w:ascii="Times New Roman" w:eastAsia="標楷體" w:hAnsi="Times New Roman" w:cs="Times New Roman" w:hint="eastAsia"/>
          <w:color w:val="000000"/>
        </w:rPr>
        <w:t>單位</w:t>
      </w:r>
      <w:r w:rsidR="00766E43">
        <w:rPr>
          <w:rFonts w:ascii="Times New Roman" w:eastAsia="標楷體" w:hAnsi="Times New Roman" w:cs="Times New Roman" w:hint="eastAsia"/>
          <w:color w:val="000000"/>
        </w:rPr>
        <w:t>、</w:t>
      </w:r>
      <w:r w:rsidR="00766E43" w:rsidRPr="00766E43">
        <w:rPr>
          <w:rFonts w:ascii="Times New Roman" w:eastAsia="標楷體" w:hAnsi="Times New Roman" w:cs="Times New Roman" w:hint="eastAsia"/>
          <w:color w:val="000000"/>
        </w:rPr>
        <w:t>健康中心</w:t>
      </w:r>
      <w:r w:rsidR="00766E43">
        <w:rPr>
          <w:rFonts w:ascii="Times New Roman" w:eastAsia="標楷體" w:hAnsi="Times New Roman" w:cs="Times New Roman" w:hint="eastAsia"/>
          <w:color w:val="000000"/>
        </w:rPr>
        <w:t>與</w:t>
      </w:r>
      <w:r w:rsidR="00766E43" w:rsidRPr="00C81CFE">
        <w:rPr>
          <w:rFonts w:ascii="Times New Roman" w:eastAsia="標楷體" w:hAnsi="Times New Roman" w:cs="Times New Roman" w:hint="eastAsia"/>
          <w:color w:val="000000"/>
        </w:rPr>
        <w:t>職業安全</w:t>
      </w:r>
      <w:r w:rsidR="00766E43">
        <w:rPr>
          <w:rFonts w:ascii="Times New Roman" w:eastAsia="標楷體" w:hAnsi="Times New Roman" w:cs="Times New Roman" w:hint="eastAsia"/>
          <w:color w:val="000000"/>
        </w:rPr>
        <w:t>委員會</w:t>
      </w:r>
      <w:r w:rsidR="00C81CFE">
        <w:rPr>
          <w:rFonts w:ascii="Times New Roman" w:eastAsia="標楷體" w:hAnsi="Times New Roman" w:cs="Times New Roman" w:hint="eastAsia"/>
          <w:color w:val="000000"/>
        </w:rPr>
        <w:t>：</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協助工作危害評估。</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依風險評估結果</w:t>
      </w:r>
      <w:r w:rsidR="00427F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協助工作調整、更換及作業現場改善措施。</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二</w:t>
      </w:r>
      <w:r w:rsidR="00C81C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人事室：</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協助本計畫之規劃、推動與執行。</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hint="eastAsia"/>
          <w:color w:val="000000"/>
          <w:kern w:val="0"/>
          <w:szCs w:val="24"/>
        </w:rPr>
        <w:t>宣導母性保護</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妊娠產後女性工作者相關資訊。</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協助蒐集、彙整及提供懷孕中或生產後一年內之女性工作者名單。</w:t>
      </w:r>
    </w:p>
    <w:p w:rsidR="00921681"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其他有關契約內容</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女性工作者調整、更換工作及請假事項。</w:t>
      </w:r>
    </w:p>
    <w:p w:rsidR="00670598" w:rsidRDefault="00670598" w:rsidP="00B26B3B">
      <w:pPr>
        <w:ind w:left="624"/>
        <w:jc w:val="both"/>
        <w:rPr>
          <w:rFonts w:ascii="Times New Roman" w:eastAsia="標楷體" w:hAnsi="Times New Roman" w:cs="DFKaiShu-SB-Estd-BF"/>
          <w:color w:val="000000"/>
          <w:kern w:val="0"/>
          <w:szCs w:val="24"/>
        </w:rPr>
      </w:pP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三</w:t>
      </w: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健康中心：</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協助工作危害評估。</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判定及確認風險等級</w:t>
      </w:r>
      <w:r w:rsidRPr="004267A7">
        <w:rPr>
          <w:rFonts w:ascii="Times New Roman" w:eastAsia="標楷體" w:hAnsi="Times New Roman" w:cs="DFKaiShu-SB-Estd-BF" w:hint="eastAsia"/>
          <w:color w:val="000000"/>
          <w:kern w:val="0"/>
          <w:szCs w:val="24"/>
        </w:rPr>
        <w:t>。</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風險等級屬第二級管理者，提供個人面談指導</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危害預防措施建議。</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風險等級屬第三級管理者，提供工作環境改善</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有效控制措施建議，完成改善後重新評估，並註明不適宜從事之作業與其它應處理與注意事項。</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Pr>
          <w:rFonts w:ascii="Times New Roman" w:eastAsia="標楷體" w:hAnsi="Times New Roman" w:cs="DFKaiShu-SB-Estd-BF" w:hint="eastAsia"/>
          <w:color w:val="000000"/>
          <w:kern w:val="0"/>
          <w:szCs w:val="24"/>
        </w:rPr>
        <w:t>5</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提供孕期與哺乳健康指導諮詢。</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6</w:t>
      </w:r>
      <w:r w:rsidRPr="004267A7">
        <w:rPr>
          <w:rFonts w:ascii="Times New Roman" w:eastAsia="標楷體" w:hAnsi="Times New Roman" w:cs="DFKaiShu-SB-Estd-BF" w:hint="eastAsia"/>
          <w:color w:val="000000"/>
          <w:kern w:val="0"/>
          <w:szCs w:val="24"/>
        </w:rPr>
        <w:t>.</w:t>
      </w:r>
      <w:proofErr w:type="gramStart"/>
      <w:r w:rsidRPr="004267A7">
        <w:rPr>
          <w:rFonts w:ascii="Times New Roman" w:eastAsia="標楷體" w:hAnsi="Times New Roman" w:cs="DFKaiShu-SB-Estd-BF"/>
          <w:color w:val="000000"/>
          <w:kern w:val="0"/>
          <w:szCs w:val="24"/>
        </w:rPr>
        <w:t>孕</w:t>
      </w:r>
      <w:proofErr w:type="gramEnd"/>
      <w:r w:rsidRPr="004267A7">
        <w:rPr>
          <w:rFonts w:ascii="Times New Roman" w:eastAsia="標楷體" w:hAnsi="Times New Roman" w:cs="DFKaiShu-SB-Estd-BF"/>
          <w:color w:val="000000"/>
          <w:kern w:val="0"/>
          <w:szCs w:val="24"/>
        </w:rPr>
        <w:t>產婦疾病之轉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與處理。</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7</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協助工作危害評估。</w:t>
      </w:r>
    </w:p>
    <w:p w:rsidR="00670598"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8</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進行初步風險等級判定。</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670598">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00766E43">
        <w:rPr>
          <w:rFonts w:ascii="Times New Roman" w:eastAsia="標楷體" w:hAnsi="Times New Roman" w:cs="DFKaiShu-SB-Estd-BF" w:hint="eastAsia"/>
          <w:color w:val="000000"/>
          <w:kern w:val="0"/>
          <w:szCs w:val="24"/>
        </w:rPr>
        <w:t>單位主管及</w:t>
      </w:r>
      <w:r w:rsidRPr="004267A7">
        <w:rPr>
          <w:rFonts w:ascii="Times New Roman" w:eastAsia="標楷體" w:hAnsi="Times New Roman" w:cs="DFKaiShu-SB-Estd-BF"/>
          <w:color w:val="000000"/>
          <w:kern w:val="0"/>
          <w:szCs w:val="24"/>
        </w:rPr>
        <w:t>負責人：</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負責</w:t>
      </w:r>
      <w:r w:rsidR="008E64A3" w:rsidRPr="004267A7">
        <w:rPr>
          <w:rFonts w:ascii="Times New Roman" w:eastAsia="標楷體" w:hAnsi="Times New Roman" w:cs="DFKaiShu-SB-Estd-BF"/>
          <w:color w:val="000000"/>
          <w:kern w:val="0"/>
          <w:szCs w:val="24"/>
        </w:rPr>
        <w:t>推動與執行</w:t>
      </w:r>
      <w:r w:rsidRPr="004267A7">
        <w:rPr>
          <w:rFonts w:ascii="Times New Roman" w:eastAsia="標楷體" w:hAnsi="Times New Roman" w:cs="DFKaiShu-SB-Estd-BF"/>
          <w:color w:val="000000"/>
          <w:kern w:val="0"/>
          <w:szCs w:val="24"/>
        </w:rPr>
        <w:t>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提供作業環境監測紀錄與危害暴露情形評估結果等資料。</w:t>
      </w:r>
    </w:p>
    <w:p w:rsidR="0089417C" w:rsidRPr="004267A7" w:rsidRDefault="00921681" w:rsidP="00670598">
      <w:pPr>
        <w:ind w:leftChars="15" w:left="1164" w:hangingChars="470" w:hanging="112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lastRenderedPageBreak/>
        <w:t xml:space="preserve">        3.</w:t>
      </w:r>
      <w:r w:rsidRPr="004267A7">
        <w:rPr>
          <w:rFonts w:ascii="Times New Roman" w:eastAsia="標楷體" w:hAnsi="Times New Roman" w:cs="DFKaiShu-SB-Estd-BF"/>
          <w:color w:val="000000"/>
          <w:kern w:val="0"/>
          <w:szCs w:val="24"/>
        </w:rPr>
        <w:t>配合本計畫</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醫師通性評估建議，</w:t>
      </w:r>
      <w:r w:rsidRPr="003F77C9">
        <w:rPr>
          <w:rFonts w:ascii="Times New Roman" w:eastAsia="標楷體" w:hAnsi="Times New Roman" w:cs="DFKaiShu-SB-Estd-BF"/>
          <w:color w:val="000000"/>
          <w:kern w:val="0"/>
          <w:szCs w:val="24"/>
        </w:rPr>
        <w:t>進行</w:t>
      </w:r>
      <w:r w:rsidRPr="004267A7">
        <w:rPr>
          <w:rFonts w:ascii="Times New Roman" w:eastAsia="標楷體" w:hAnsi="Times New Roman" w:cs="DFKaiShu-SB-Estd-BF"/>
          <w:color w:val="000000"/>
          <w:kern w:val="0"/>
          <w:szCs w:val="24"/>
        </w:rPr>
        <w:t>工作內容</w:t>
      </w:r>
      <w:r w:rsidR="00427FF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時間之管理與調整，及</w:t>
      </w:r>
      <w:r w:rsidR="00427FFE" w:rsidRPr="004267A7">
        <w:rPr>
          <w:rFonts w:ascii="Times New Roman" w:eastAsia="標楷體" w:hAnsi="Times New Roman" w:cs="DFKaiShu-SB-Estd-BF"/>
          <w:color w:val="000000"/>
          <w:kern w:val="0"/>
          <w:szCs w:val="24"/>
        </w:rPr>
        <w:t>執行</w:t>
      </w:r>
      <w:r w:rsidRPr="004267A7">
        <w:rPr>
          <w:rFonts w:ascii="Times New Roman" w:eastAsia="標楷體" w:hAnsi="Times New Roman" w:cs="DFKaiShu-SB-Estd-BF"/>
          <w:color w:val="000000"/>
          <w:kern w:val="0"/>
          <w:szCs w:val="24"/>
        </w:rPr>
        <w:t>作業現場改善措施，並留存紀錄。</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00670598">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懷孕中或生產後一年內之女性工作者：</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主動告知懷孕或生產事實</w:t>
      </w:r>
      <w:r w:rsidR="00766E43">
        <w:rPr>
          <w:rFonts w:ascii="Times New Roman" w:eastAsia="標楷體" w:hAnsi="Times New Roman" w:cs="DFKaiShu-SB-Estd-BF" w:hint="eastAsia"/>
          <w:color w:val="000000"/>
          <w:kern w:val="0"/>
          <w:szCs w:val="24"/>
        </w:rPr>
        <w:t>給</w:t>
      </w:r>
      <w:r w:rsidR="00766E43" w:rsidRPr="004267A7">
        <w:rPr>
          <w:rFonts w:ascii="Times New Roman" w:eastAsia="標楷體" w:hAnsi="Times New Roman" w:cs="DFKaiShu-SB-Estd-BF"/>
          <w:color w:val="000000"/>
          <w:kern w:val="0"/>
          <w:szCs w:val="24"/>
        </w:rPr>
        <w:t>工作場所</w:t>
      </w:r>
      <w:r w:rsidR="00766E43">
        <w:rPr>
          <w:rFonts w:ascii="Times New Roman" w:eastAsia="標楷體" w:hAnsi="Times New Roman" w:cs="DFKaiShu-SB-Estd-BF" w:hint="eastAsia"/>
          <w:color w:val="000000"/>
          <w:kern w:val="0"/>
          <w:szCs w:val="24"/>
        </w:rPr>
        <w:t>單位主管或</w:t>
      </w:r>
      <w:r w:rsidR="00766E43" w:rsidRPr="004267A7">
        <w:rPr>
          <w:rFonts w:ascii="Times New Roman" w:eastAsia="標楷體" w:hAnsi="Times New Roman" w:cs="DFKaiShu-SB-Estd-BF"/>
          <w:color w:val="000000"/>
          <w:kern w:val="0"/>
          <w:szCs w:val="24"/>
        </w:rPr>
        <w:t>負責人</w:t>
      </w:r>
      <w:r w:rsidR="005218BB">
        <w:rPr>
          <w:rFonts w:ascii="Times New Roman" w:eastAsia="標楷體" w:hAnsi="Times New Roman" w:cs="DFKaiShu-SB-Estd-BF" w:hint="eastAsia"/>
          <w:color w:val="000000"/>
          <w:kern w:val="0"/>
          <w:szCs w:val="24"/>
        </w:rPr>
        <w:t>知悉</w:t>
      </w:r>
      <w:r w:rsidRPr="004267A7">
        <w:rPr>
          <w:rFonts w:ascii="Times New Roman" w:eastAsia="標楷體" w:hAnsi="Times New Roman" w:cs="DFKaiShu-SB-Estd-BF"/>
          <w:color w:val="000000"/>
          <w:kern w:val="0"/>
          <w:szCs w:val="24"/>
        </w:rPr>
        <w:t>，</w:t>
      </w:r>
      <w:r w:rsidR="00CA3FB0">
        <w:rPr>
          <w:rFonts w:ascii="Times New Roman" w:eastAsia="標楷體" w:hAnsi="Times New Roman" w:cs="DFKaiShu-SB-Estd-BF" w:hint="eastAsia"/>
          <w:color w:val="000000"/>
          <w:kern w:val="0"/>
          <w:szCs w:val="24"/>
        </w:rPr>
        <w:t>如</w:t>
      </w:r>
      <w:r w:rsidR="005218BB">
        <w:rPr>
          <w:rFonts w:ascii="Times New Roman" w:eastAsia="標楷體" w:hAnsi="Times New Roman" w:cs="DFKaiShu-SB-Estd-BF" w:hint="eastAsia"/>
          <w:color w:val="000000"/>
          <w:kern w:val="0"/>
          <w:szCs w:val="24"/>
        </w:rPr>
        <w:t>工作性質符合</w:t>
      </w:r>
      <w:r w:rsidR="005218BB" w:rsidRPr="005218BB">
        <w:rPr>
          <w:rFonts w:ascii="Times New Roman" w:eastAsia="標楷體" w:hAnsi="Times New Roman" w:cs="DFKaiShu-SB-Estd-BF" w:hint="eastAsia"/>
          <w:color w:val="000000"/>
          <w:kern w:val="0"/>
          <w:szCs w:val="24"/>
        </w:rPr>
        <w:t>職業安全衛生法施行細則第</w:t>
      </w:r>
      <w:r w:rsidR="005218BB" w:rsidRPr="005218BB">
        <w:rPr>
          <w:rFonts w:ascii="Times New Roman" w:eastAsia="標楷體" w:hAnsi="Times New Roman" w:cs="DFKaiShu-SB-Estd-BF"/>
          <w:color w:val="000000"/>
          <w:kern w:val="0"/>
          <w:szCs w:val="24"/>
        </w:rPr>
        <w:t>39</w:t>
      </w:r>
      <w:r w:rsidR="005218BB" w:rsidRPr="005218BB">
        <w:rPr>
          <w:rFonts w:ascii="Times New Roman" w:eastAsia="標楷體" w:hAnsi="Times New Roman" w:cs="DFKaiShu-SB-Estd-BF" w:hint="eastAsia"/>
          <w:color w:val="000000"/>
          <w:kern w:val="0"/>
          <w:szCs w:val="24"/>
        </w:rPr>
        <w:t>條</w:t>
      </w:r>
      <w:r w:rsidR="005218BB">
        <w:rPr>
          <w:rFonts w:ascii="Times New Roman" w:eastAsia="標楷體" w:hAnsi="Times New Roman" w:cs="DFKaiShu-SB-Estd-BF" w:hint="eastAsia"/>
          <w:color w:val="000000"/>
          <w:kern w:val="0"/>
          <w:szCs w:val="24"/>
        </w:rPr>
        <w:t>之規定者，請</w:t>
      </w:r>
      <w:r w:rsidRPr="004267A7">
        <w:rPr>
          <w:rFonts w:ascii="Times New Roman" w:eastAsia="標楷體" w:hAnsi="Times New Roman" w:cs="DFKaiShu-SB-Estd-BF"/>
          <w:color w:val="000000"/>
          <w:kern w:val="0"/>
          <w:szCs w:val="24"/>
        </w:rPr>
        <w:t>填寫「妊娠及分娩後勞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之健康危害評估及工作適性安排建議表」</w:t>
      </w:r>
      <w:r w:rsidR="00713AA5">
        <w:rPr>
          <w:rFonts w:ascii="Times New Roman" w:eastAsia="標楷體" w:hAnsi="Times New Roman" w:cs="DFKaiShu-SB-Estd-BF" w:hint="eastAsia"/>
          <w:color w:val="000000"/>
          <w:kern w:val="0"/>
          <w:szCs w:val="24"/>
        </w:rPr>
        <w:t>(</w:t>
      </w:r>
      <w:r w:rsidR="00713AA5">
        <w:rPr>
          <w:rFonts w:ascii="Times New Roman" w:eastAsia="標楷體" w:hAnsi="Times New Roman" w:cs="DFKaiShu-SB-Estd-BF" w:hint="eastAsia"/>
          <w:color w:val="000000"/>
          <w:kern w:val="0"/>
          <w:szCs w:val="24"/>
        </w:rPr>
        <w:t>如</w:t>
      </w:r>
      <w:r w:rsidR="00713AA5" w:rsidRPr="004267A7">
        <w:rPr>
          <w:rFonts w:ascii="Times New Roman" w:eastAsia="標楷體" w:hAnsi="Times New Roman" w:cs="DFKaiShu-SB-Estd-BF"/>
          <w:color w:val="000000"/>
          <w:kern w:val="0"/>
          <w:szCs w:val="24"/>
        </w:rPr>
        <w:t>附表</w:t>
      </w:r>
      <w:proofErr w:type="gramStart"/>
      <w:r w:rsidR="00713AA5" w:rsidRPr="004267A7">
        <w:rPr>
          <w:rFonts w:ascii="Times New Roman" w:eastAsia="標楷體" w:hAnsi="Times New Roman" w:cs="DFKaiShu-SB-Estd-BF"/>
          <w:color w:val="000000"/>
          <w:kern w:val="0"/>
          <w:szCs w:val="24"/>
        </w:rPr>
        <w:t>一</w:t>
      </w:r>
      <w:proofErr w:type="gramEnd"/>
      <w:r w:rsidR="00713AA5">
        <w:rPr>
          <w:rFonts w:ascii="Times New Roman" w:eastAsia="標楷體" w:hAnsi="Times New Roman" w:cs="DFKaiShu-SB-Estd-BF" w:hint="eastAsia"/>
          <w:color w:val="000000"/>
          <w:kern w:val="0"/>
          <w:szCs w:val="24"/>
        </w:rPr>
        <w:t>)</w:t>
      </w:r>
      <w:r w:rsidR="00713AA5">
        <w:rPr>
          <w:rFonts w:ascii="Times New Roman" w:eastAsia="標楷體" w:hAnsi="Times New Roman" w:cs="DFKaiShu-SB-Estd-BF" w:hint="eastAsia"/>
          <w:color w:val="000000"/>
          <w:kern w:val="0"/>
          <w:szCs w:val="24"/>
        </w:rPr>
        <w:t>之基本資料交由</w:t>
      </w:r>
      <w:r w:rsidR="005218BB" w:rsidRPr="005218BB">
        <w:rPr>
          <w:rFonts w:ascii="Times New Roman" w:eastAsia="標楷體" w:hAnsi="Times New Roman" w:cs="DFKaiShu-SB-Estd-BF" w:hint="eastAsia"/>
          <w:color w:val="000000"/>
          <w:kern w:val="0"/>
          <w:szCs w:val="24"/>
        </w:rPr>
        <w:t>單位主管或負責人</w:t>
      </w:r>
      <w:r w:rsidR="00713AA5" w:rsidRPr="00713AA5">
        <w:rPr>
          <w:rFonts w:ascii="Times New Roman" w:eastAsia="標楷體" w:hAnsi="Times New Roman" w:cs="DFKaiShu-SB-Estd-BF" w:hint="eastAsia"/>
          <w:color w:val="000000"/>
          <w:kern w:val="0"/>
          <w:szCs w:val="24"/>
        </w:rPr>
        <w:t>與醫師通性評估</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提出保護計畫之需求，並配合本計畫之執行及參與</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配合工作危害評估、工作調整</w:t>
      </w:r>
      <w:r w:rsidR="00A11891" w:rsidRPr="004267A7">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現場改善措施。</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00D57591" w:rsidRPr="004267A7">
        <w:rPr>
          <w:rFonts w:ascii="Times New Roman" w:eastAsia="標楷體" w:hAnsi="Times New Roman" w:cs="DFKaiShu-SB-Estd-BF"/>
          <w:color w:val="000000"/>
          <w:kern w:val="0"/>
          <w:szCs w:val="24"/>
        </w:rPr>
        <w:t>若作業變更或健康狀況有變化，應立即告知工作場所負責人以調整計劃。</w:t>
      </w:r>
    </w:p>
    <w:p w:rsidR="00B26B3B" w:rsidRPr="004267A7" w:rsidRDefault="00D57591"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實施方式</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本計畫依「</w:t>
      </w:r>
      <w:r w:rsidRPr="004267A7">
        <w:rPr>
          <w:rFonts w:ascii="Times New Roman" w:eastAsia="標楷體" w:hAnsi="Times New Roman" w:cs="DFKaiShu-SB-Estd-BF"/>
          <w:color w:val="000000"/>
          <w:kern w:val="0"/>
          <w:szCs w:val="24"/>
        </w:rPr>
        <w:t>母性健康保護措施推動之流程圖</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hint="eastAsia"/>
          <w:color w:val="000000"/>
          <w:kern w:val="0"/>
          <w:szCs w:val="24"/>
        </w:rPr>
        <w:t>附圖</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213D71"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推動</w:t>
      </w:r>
      <w:r w:rsidR="00213D71" w:rsidRPr="004267A7">
        <w:rPr>
          <w:rFonts w:ascii="Times New Roman" w:eastAsia="標楷體" w:hAnsi="Times New Roman" w:cs="DFKaiShu-SB-Estd-BF" w:hint="eastAsia"/>
          <w:color w:val="000000"/>
          <w:kern w:val="0"/>
          <w:szCs w:val="24"/>
        </w:rPr>
        <w:t>下列事項</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辨識與評估工作場所環境</w:t>
      </w:r>
      <w:r w:rsidR="00A11891">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color w:val="000000"/>
          <w:kern w:val="0"/>
          <w:szCs w:val="24"/>
        </w:rPr>
        <w:t>作業之危害，包含物理性、化學性、生物性、人因性、工作流程</w:t>
      </w:r>
      <w:r w:rsidR="00A11891">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工作型態等。</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二</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依評估結果</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「女性勞工母性健康保護實施辦法」第</w:t>
      </w:r>
      <w:r w:rsidRPr="004267A7">
        <w:rPr>
          <w:rFonts w:ascii="Times New Roman" w:eastAsia="標楷體" w:hAnsi="Times New Roman" w:cs="DFKaiShu-SB-Estd-BF"/>
          <w:color w:val="000000"/>
          <w:kern w:val="0"/>
          <w:szCs w:val="24"/>
        </w:rPr>
        <w:t>9</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11</w:t>
      </w:r>
      <w:r w:rsidRPr="004267A7">
        <w:rPr>
          <w:rFonts w:ascii="Times New Roman" w:eastAsia="標楷體" w:hAnsi="Times New Roman" w:cs="DFKaiShu-SB-Estd-BF"/>
          <w:color w:val="000000"/>
          <w:kern w:val="0"/>
          <w:szCs w:val="24"/>
        </w:rPr>
        <w:t>條之規定</w:t>
      </w:r>
      <w:r w:rsidR="00213D71"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區分風險</w:t>
      </w:r>
      <w:r w:rsidRPr="007371B0">
        <w:rPr>
          <w:rFonts w:ascii="Times New Roman" w:eastAsia="標楷體" w:hAnsi="Times New Roman" w:cs="DFKaiShu-SB-Estd-BF"/>
          <w:color w:val="000000"/>
          <w:kern w:val="0"/>
          <w:szCs w:val="24"/>
        </w:rPr>
        <w:t>等級</w:t>
      </w:r>
      <w:r w:rsidRPr="004267A7">
        <w:rPr>
          <w:rFonts w:ascii="Times New Roman" w:eastAsia="標楷體" w:hAnsi="Times New Roman" w:cs="DFKaiShu-SB-Estd-BF"/>
          <w:color w:val="000000"/>
          <w:kern w:val="0"/>
          <w:szCs w:val="24"/>
        </w:rPr>
        <w:t>，並實施分級管理</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告知勞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三</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實施工作環境改善與危害之預防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管理。</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對適用對象提供健康面談、指導及管理，發現異常者需追蹤檢查或適性評估，必要時轉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婦產科或職業醫學科專科醫師評估。</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計畫執行成效之評估</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改善。</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六</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其他預防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改進事項</w:t>
      </w:r>
    </w:p>
    <w:p w:rsidR="008C72A6" w:rsidRDefault="008C72A6"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本計畫執行紀錄或</w:t>
      </w:r>
      <w:r w:rsidR="00375814" w:rsidRPr="004267A7">
        <w:rPr>
          <w:rFonts w:ascii="Times New Roman" w:eastAsia="標楷體" w:hAnsi="Times New Roman" w:cs="DFKaiShu-SB-Estd-BF"/>
          <w:color w:val="000000"/>
          <w:kern w:val="0"/>
          <w:szCs w:val="24"/>
        </w:rPr>
        <w:t>相關</w:t>
      </w:r>
      <w:r w:rsidRPr="004267A7">
        <w:rPr>
          <w:rFonts w:ascii="Times New Roman" w:eastAsia="標楷體" w:hAnsi="Times New Roman" w:cs="DFKaiShu-SB-Estd-BF"/>
          <w:color w:val="000000"/>
          <w:kern w:val="0"/>
          <w:szCs w:val="24"/>
        </w:rPr>
        <w:t>文件</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應歸檔留存</w:t>
      </w:r>
      <w:r w:rsidRPr="004267A7">
        <w:rPr>
          <w:rFonts w:ascii="Times New Roman" w:eastAsia="標楷體" w:hAnsi="Times New Roman" w:cs="DFKaiShu-SB-Estd-BF"/>
          <w:color w:val="000000"/>
          <w:kern w:val="0"/>
          <w:szCs w:val="24"/>
        </w:rPr>
        <w:t>3</w:t>
      </w:r>
      <w:r w:rsidRPr="004267A7">
        <w:rPr>
          <w:rFonts w:ascii="Times New Roman" w:eastAsia="標楷體" w:hAnsi="Times New Roman" w:cs="DFKaiShu-SB-Estd-BF"/>
          <w:color w:val="000000"/>
          <w:kern w:val="0"/>
          <w:szCs w:val="24"/>
        </w:rPr>
        <w:t>年以上，並保障個人隱私權</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本計畫為預防性之管理，若身體已有不適症狀</w:t>
      </w:r>
      <w:r w:rsidR="00FC071E">
        <w:rPr>
          <w:rFonts w:ascii="Times New Roman" w:eastAsia="標楷體" w:hAnsi="Times New Roman" w:cs="DFKaiShu-SB-Estd-BF"/>
          <w:color w:val="000000"/>
          <w:kern w:val="0"/>
          <w:szCs w:val="24"/>
        </w:rPr>
        <w:t>，</w:t>
      </w:r>
      <w:proofErr w:type="gramStart"/>
      <w:r w:rsidRPr="004267A7">
        <w:rPr>
          <w:rFonts w:ascii="Times New Roman" w:eastAsia="標楷體" w:hAnsi="Times New Roman" w:cs="DFKaiShu-SB-Estd-BF"/>
          <w:color w:val="000000"/>
          <w:kern w:val="0"/>
          <w:szCs w:val="24"/>
        </w:rPr>
        <w:t>應請孕</w:t>
      </w:r>
      <w:proofErr w:type="gramEnd"/>
      <w:r w:rsidRPr="004267A7">
        <w:rPr>
          <w:rFonts w:ascii="Times New Roman" w:eastAsia="標楷體" w:hAnsi="Times New Roman" w:cs="DFKaiShu-SB-Estd-BF"/>
          <w:color w:val="000000"/>
          <w:kern w:val="0"/>
          <w:szCs w:val="24"/>
        </w:rPr>
        <w:t>、產婦儘速就醫。</w:t>
      </w:r>
    </w:p>
    <w:p w:rsidR="00B4057D" w:rsidRDefault="00B4057D" w:rsidP="001E33D3">
      <w:pPr>
        <w:numPr>
          <w:ilvl w:val="0"/>
          <w:numId w:val="12"/>
        </w:numPr>
        <w:ind w:left="624" w:hanging="624"/>
        <w:jc w:val="both"/>
        <w:rPr>
          <w:rFonts w:ascii="Times New Roman" w:eastAsia="標楷體" w:hAnsi="Times New Roman" w:cs="DFKaiShu-SB-Estd-BF"/>
          <w:color w:val="000000"/>
          <w:kern w:val="0"/>
          <w:szCs w:val="24"/>
        </w:rPr>
      </w:pPr>
      <w:r w:rsidRPr="001E33D3">
        <w:rPr>
          <w:rFonts w:ascii="Times New Roman" w:eastAsia="標楷體" w:hAnsi="Times New Roman" w:cs="DFKaiShu-SB-Estd-BF"/>
          <w:color w:val="000000"/>
          <w:kern w:val="0"/>
          <w:szCs w:val="24"/>
        </w:rPr>
        <w:t>本</w:t>
      </w:r>
      <w:r w:rsidRPr="001E33D3">
        <w:rPr>
          <w:rFonts w:ascii="Times New Roman" w:eastAsia="標楷體" w:hAnsi="Times New Roman" w:cs="DFKaiShu-SB-Estd-BF" w:hint="eastAsia"/>
          <w:color w:val="000000"/>
          <w:kern w:val="0"/>
          <w:szCs w:val="24"/>
        </w:rPr>
        <w:t>計畫</w:t>
      </w:r>
      <w:r w:rsidRPr="001E33D3">
        <w:rPr>
          <w:rFonts w:ascii="Times New Roman" w:eastAsia="標楷體" w:hAnsi="Times New Roman" w:cs="DFKaiShu-SB-Estd-BF"/>
          <w:color w:val="000000"/>
          <w:kern w:val="0"/>
          <w:szCs w:val="24"/>
        </w:rPr>
        <w:t>經</w:t>
      </w:r>
      <w:r w:rsidR="001E33D3" w:rsidRPr="001E33D3">
        <w:rPr>
          <w:rFonts w:ascii="Times New Roman" w:eastAsia="標楷體" w:hAnsi="Times New Roman" w:cs="DFKaiShu-SB-Estd-BF" w:hint="eastAsia"/>
          <w:color w:val="000000"/>
          <w:kern w:val="0"/>
          <w:szCs w:val="24"/>
        </w:rPr>
        <w:t>本校職業安全衛生委員會</w:t>
      </w:r>
      <w:r w:rsidR="001E33D3" w:rsidRPr="001E33D3">
        <w:rPr>
          <w:rFonts w:ascii="Times New Roman" w:eastAsia="標楷體" w:hAnsi="Times New Roman" w:cs="DFKaiShu-SB-Estd-BF" w:hint="eastAsia"/>
          <w:color w:val="000000"/>
          <w:kern w:val="0"/>
          <w:szCs w:val="24"/>
        </w:rPr>
        <w:t>(</w:t>
      </w:r>
      <w:r w:rsidR="001E33D3" w:rsidRPr="001E33D3">
        <w:rPr>
          <w:rFonts w:ascii="Times New Roman" w:eastAsia="標楷體" w:hAnsi="Times New Roman" w:cs="DFKaiShu-SB-Estd-BF" w:hint="eastAsia"/>
          <w:color w:val="000000"/>
          <w:kern w:val="0"/>
          <w:szCs w:val="24"/>
        </w:rPr>
        <w:t>或行政會議</w:t>
      </w:r>
      <w:r w:rsidR="001E33D3" w:rsidRPr="001E33D3">
        <w:rPr>
          <w:rFonts w:ascii="Times New Roman" w:eastAsia="標楷體" w:hAnsi="Times New Roman" w:cs="DFKaiShu-SB-Estd-BF" w:hint="eastAsia"/>
          <w:color w:val="000000"/>
          <w:kern w:val="0"/>
          <w:szCs w:val="24"/>
        </w:rPr>
        <w:t>)</w:t>
      </w:r>
      <w:r w:rsidRPr="001E33D3">
        <w:rPr>
          <w:rFonts w:ascii="Times New Roman" w:eastAsia="標楷體" w:hAnsi="Times New Roman" w:cs="DFKaiShu-SB-Estd-BF"/>
          <w:color w:val="000000"/>
          <w:kern w:val="0"/>
          <w:szCs w:val="24"/>
        </w:rPr>
        <w:t>通過後，</w:t>
      </w:r>
      <w:r w:rsidRPr="001E33D3">
        <w:rPr>
          <w:rFonts w:ascii="Times New Roman" w:eastAsia="標楷體" w:hAnsi="Times New Roman" w:cs="DFKaiShu-SB-Estd-BF" w:hint="eastAsia"/>
          <w:color w:val="000000"/>
          <w:kern w:val="0"/>
          <w:szCs w:val="24"/>
        </w:rPr>
        <w:t>陳請校長核定後公告實施，修正時亦同。</w:t>
      </w:r>
    </w:p>
    <w:p w:rsidR="008C72A6" w:rsidRPr="004267A7" w:rsidRDefault="008C72A6" w:rsidP="009856FF">
      <w:pPr>
        <w:jc w:val="center"/>
        <w:rPr>
          <w:rFonts w:ascii="Times New Roman" w:eastAsia="標楷體" w:hAnsi="Times New Roman" w:cs="DFKaiShu-SB-Estd-BF"/>
          <w:color w:val="000000"/>
          <w:kern w:val="0"/>
          <w:szCs w:val="24"/>
        </w:rPr>
      </w:pPr>
    </w:p>
    <w:p w:rsidR="008C72A6" w:rsidRPr="004267A7" w:rsidRDefault="008C72A6" w:rsidP="008C72A6">
      <w:pPr>
        <w:jc w:val="both"/>
        <w:rPr>
          <w:rFonts w:ascii="Times New Roman" w:eastAsia="標楷體" w:hAnsi="Times New Roman" w:cs="DFKaiShu-SB-Estd-BF"/>
          <w:kern w:val="0"/>
          <w:szCs w:val="24"/>
        </w:rPr>
      </w:pPr>
    </w:p>
    <w:p w:rsidR="008C72A6" w:rsidRPr="00B4057D"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713AA5">
      <w:pPr>
        <w:ind w:firstLineChars="200" w:firstLine="480"/>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08214E" w:rsidRDefault="0008214E" w:rsidP="0008214E">
      <w:pPr>
        <w:widowControl/>
        <w:spacing w:line="400" w:lineRule="exact"/>
        <w:jc w:val="center"/>
        <w:rPr>
          <w:rFonts w:ascii="Times New Roman" w:eastAsia="標楷體" w:hAnsi="標楷體" w:cs="Times New Roman"/>
          <w:color w:val="000000"/>
          <w:szCs w:val="24"/>
        </w:rPr>
      </w:pPr>
    </w:p>
    <w:p w:rsidR="0008214E" w:rsidRDefault="0008214E" w:rsidP="0008214E">
      <w:pPr>
        <w:widowControl/>
        <w:spacing w:line="400" w:lineRule="exact"/>
        <w:jc w:val="center"/>
        <w:rPr>
          <w:rFonts w:ascii="Times New Roman" w:eastAsia="標楷體" w:hAnsi="標楷體" w:cs="Times New Roman"/>
          <w:color w:val="000000"/>
          <w:szCs w:val="24"/>
        </w:rPr>
      </w:pPr>
    </w:p>
    <w:p w:rsidR="0008214E" w:rsidRDefault="0008214E" w:rsidP="0008214E">
      <w:pPr>
        <w:widowControl/>
        <w:spacing w:line="400" w:lineRule="exact"/>
        <w:jc w:val="center"/>
        <w:rPr>
          <w:rFonts w:ascii="Times New Roman" w:eastAsia="標楷體" w:hAnsi="標楷體" w:cs="Times New Roman"/>
          <w:color w:val="000000"/>
          <w:szCs w:val="24"/>
        </w:rPr>
      </w:pPr>
    </w:p>
    <w:p w:rsidR="0008214E" w:rsidRDefault="0008214E" w:rsidP="0008214E">
      <w:pPr>
        <w:widowControl/>
        <w:spacing w:line="400" w:lineRule="exact"/>
        <w:jc w:val="center"/>
        <w:rPr>
          <w:rFonts w:ascii="Times New Roman" w:eastAsia="標楷體" w:hAnsi="標楷體" w:cs="Times New Roman"/>
          <w:color w:val="000000"/>
          <w:szCs w:val="24"/>
        </w:rPr>
      </w:pPr>
    </w:p>
    <w:p w:rsidR="008C72A6" w:rsidRPr="0008214E" w:rsidRDefault="0008214E" w:rsidP="00BA5842">
      <w:pPr>
        <w:widowControl/>
        <w:spacing w:line="400" w:lineRule="exact"/>
        <w:rPr>
          <w:rFonts w:ascii="Times New Roman" w:eastAsia="標楷體" w:hAnsi="標楷體" w:cs="Times New Roman"/>
          <w:color w:val="000000"/>
          <w:szCs w:val="24"/>
        </w:rPr>
      </w:pPr>
      <w:r w:rsidRPr="003A1520">
        <w:rPr>
          <w:rFonts w:ascii="Times New Roman" w:eastAsia="標楷體" w:hAnsi="標楷體" w:cs="Times New Roman" w:hint="eastAsia"/>
          <w:color w:val="000000"/>
          <w:szCs w:val="24"/>
        </w:rPr>
        <w:t>圖一</w:t>
      </w:r>
      <w:r w:rsidR="00CA3FB0">
        <w:rPr>
          <w:rFonts w:ascii="Times New Roman" w:eastAsia="標楷體" w:hAnsi="標楷體" w:cs="Times New Roman" w:hint="eastAsia"/>
          <w:color w:val="000000"/>
          <w:szCs w:val="24"/>
        </w:rPr>
        <w:t>、</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9856FF" w:rsidP="003A1520">
      <w:pPr>
        <w:ind w:leftChars="118" w:left="283" w:firstLine="1"/>
        <w:jc w:val="both"/>
        <w:rPr>
          <w:rFonts w:ascii="Times New Roman" w:eastAsia="標楷體" w:hAnsi="Times New Roman"/>
          <w:b/>
          <w:szCs w:val="24"/>
        </w:rPr>
      </w:pPr>
      <w:r>
        <w:rPr>
          <w:noProof/>
          <w:szCs w:val="24"/>
        </w:rPr>
        <w:drawing>
          <wp:anchor distT="0" distB="0" distL="114300" distR="114300" simplePos="0" relativeHeight="251659264" behindDoc="1" locked="0" layoutInCell="1" allowOverlap="1">
            <wp:simplePos x="0" y="0"/>
            <wp:positionH relativeFrom="column">
              <wp:posOffset>923984</wp:posOffset>
            </wp:positionH>
            <wp:positionV relativeFrom="paragraph">
              <wp:posOffset>-97863</wp:posOffset>
            </wp:positionV>
            <wp:extent cx="4435475" cy="8676005"/>
            <wp:effectExtent l="0" t="0" r="0" b="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5475" cy="8676005"/>
                    </a:xfrm>
                    <a:prstGeom prst="rect">
                      <a:avLst/>
                    </a:prstGeom>
                    <a:noFill/>
                    <a:ln>
                      <a:noFill/>
                    </a:ln>
                  </pic:spPr>
                </pic:pic>
              </a:graphicData>
            </a:graphic>
          </wp:anchor>
        </w:drawing>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08214E" w:rsidRDefault="0008214E" w:rsidP="008C72A6">
      <w:pPr>
        <w:widowControl/>
        <w:spacing w:line="400" w:lineRule="exact"/>
        <w:rPr>
          <w:rFonts w:ascii="標楷體" w:eastAsia="標楷體" w:hAnsi="標楷體" w:cs="新細明體"/>
          <w:color w:val="3E3E3E"/>
          <w:kern w:val="0"/>
          <w:szCs w:val="24"/>
        </w:rPr>
      </w:pPr>
    </w:p>
    <w:p w:rsidR="00CA3FB0" w:rsidRPr="00CA3FB0" w:rsidRDefault="00CA3FB0" w:rsidP="008C72A6">
      <w:pPr>
        <w:widowControl/>
        <w:spacing w:line="400" w:lineRule="exact"/>
        <w:rPr>
          <w:rFonts w:ascii="標楷體" w:eastAsia="標楷體" w:hAnsi="標楷體" w:cs="新細明體"/>
          <w:color w:val="3E3E3E"/>
          <w:kern w:val="0"/>
          <w:szCs w:val="24"/>
        </w:rPr>
      </w:pPr>
    </w:p>
    <w:p w:rsidR="008C72A6" w:rsidRPr="00641899" w:rsidRDefault="008C72A6" w:rsidP="008C72A6">
      <w:pPr>
        <w:widowControl/>
        <w:spacing w:line="400" w:lineRule="exact"/>
        <w:rPr>
          <w:rFonts w:ascii="標楷體" w:eastAsia="標楷體" w:hAnsi="標楷體" w:cs="新細明體"/>
          <w:color w:val="3E3E3E"/>
          <w:kern w:val="0"/>
          <w:sz w:val="28"/>
          <w:szCs w:val="24"/>
        </w:rPr>
      </w:pPr>
      <w:r w:rsidRPr="00641899">
        <w:rPr>
          <w:rFonts w:ascii="標楷體" w:eastAsia="標楷體" w:hAnsi="標楷體" w:cs="新細明體" w:hint="eastAsia"/>
          <w:color w:val="3E3E3E"/>
          <w:kern w:val="0"/>
          <w:sz w:val="28"/>
          <w:szCs w:val="24"/>
        </w:rPr>
        <w:t>附表一</w:t>
      </w:r>
      <w:r w:rsidR="00BA5842">
        <w:rPr>
          <w:rFonts w:ascii="標楷體" w:eastAsia="標楷體" w:hAnsi="標楷體" w:cs="新細明體" w:hint="eastAsia"/>
          <w:color w:val="3E3E3E"/>
          <w:kern w:val="0"/>
          <w:sz w:val="28"/>
          <w:szCs w:val="24"/>
        </w:rPr>
        <w:t>、</w:t>
      </w:r>
      <w:r w:rsidRPr="00641899">
        <w:rPr>
          <w:rFonts w:ascii="標楷體" w:eastAsia="標楷體" w:hAnsi="標楷體" w:cs="新細明體" w:hint="eastAsia"/>
          <w:color w:val="3E3E3E"/>
          <w:kern w:val="0"/>
          <w:sz w:val="28"/>
          <w:szCs w:val="24"/>
        </w:rPr>
        <w:t>妊娠及分娩後勞</w:t>
      </w:r>
      <w:r w:rsidR="008640F2">
        <w:rPr>
          <w:rFonts w:ascii="標楷體" w:eastAsia="標楷體" w:hAnsi="標楷體" w:cs="新細明體" w:hint="eastAsia"/>
          <w:color w:val="3E3E3E"/>
          <w:kern w:val="0"/>
          <w:sz w:val="28"/>
          <w:szCs w:val="24"/>
        </w:rPr>
        <w:t>動者</w:t>
      </w:r>
      <w:r w:rsidRPr="00641899">
        <w:rPr>
          <w:rFonts w:ascii="標楷體" w:eastAsia="標楷體" w:hAnsi="標楷體" w:cs="新細明體" w:hint="eastAsia"/>
          <w:color w:val="3E3E3E"/>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8C72A6" w:rsidRPr="008C72A6"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lastRenderedPageBreak/>
              <w:t>一、基本資料</w:t>
            </w:r>
          </w:p>
        </w:tc>
      </w:tr>
      <w:tr w:rsidR="008C72A6" w:rsidRPr="008C72A6"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3C30AC">
            <w:pPr>
              <w:widowControl/>
              <w:rPr>
                <w:rFonts w:ascii="標楷體" w:eastAsia="標楷體" w:hAnsi="標楷體" w:cs="新細明體"/>
                <w:kern w:val="0"/>
                <w:szCs w:val="24"/>
              </w:rPr>
            </w:pPr>
            <w:r w:rsidRPr="008C72A6">
              <w:rPr>
                <w:rFonts w:ascii="標楷體" w:eastAsia="標楷體" w:hAnsi="標楷體" w:cs="新細明體"/>
                <w:kern w:val="0"/>
                <w:szCs w:val="24"/>
              </w:rPr>
              <w:t>□妊娠</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w:t>
            </w:r>
            <w:proofErr w:type="gramStart"/>
            <w:r w:rsidRPr="008C72A6">
              <w:rPr>
                <w:rFonts w:ascii="標楷體" w:eastAsia="標楷體" w:hAnsi="標楷體" w:cs="新細明體"/>
                <w:kern w:val="0"/>
                <w:szCs w:val="24"/>
              </w:rPr>
              <w:t>□否</w:t>
            </w:r>
            <w:proofErr w:type="gramEnd"/>
            <w:r w:rsidRPr="008C72A6">
              <w:rPr>
                <w:rFonts w:ascii="標楷體" w:eastAsia="標楷體" w:hAnsi="標楷體" w:cs="新細明體"/>
                <w:kern w:val="0"/>
                <w:szCs w:val="24"/>
              </w:rPr>
              <w:t> □是：</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□化學性物質，</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□生物性危害，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陰道出血 (14</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kern w:val="0"/>
                <w:szCs w:val="24"/>
              </w:rPr>
              <w:t>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xml:space="preserve"> □ 貧血 (血紅素＜10 g / </w:t>
            </w:r>
            <w:proofErr w:type="spellStart"/>
            <w:r w:rsidRPr="008C72A6">
              <w:rPr>
                <w:rFonts w:ascii="標楷體" w:eastAsia="標楷體" w:hAnsi="標楷體" w:cs="新細明體"/>
                <w:kern w:val="0"/>
                <w:szCs w:val="24"/>
              </w:rPr>
              <w:t>dL</w:t>
            </w:r>
            <w:proofErr w:type="spellEnd"/>
            <w:r w:rsidRPr="008C72A6">
              <w:rPr>
                <w:rFonts w:ascii="標楷體" w:eastAsia="標楷體" w:hAnsi="標楷體" w:cs="新細明體"/>
                <w:kern w:val="0"/>
                <w:szCs w:val="24"/>
              </w:rPr>
              <w:t>)</w:t>
            </w:r>
            <w:r w:rsidR="00AA7058">
              <w:rPr>
                <w:rFonts w:ascii="標楷體" w:eastAsia="標楷體" w:hAnsi="標楷體" w:cs="新細明體" w:hint="eastAsia"/>
                <w:kern w:val="0"/>
                <w:szCs w:val="24"/>
              </w:rPr>
              <w:t xml:space="preserve">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BA5842">
        <w:trPr>
          <w:trHeight w:val="626"/>
        </w:trPr>
        <w:tc>
          <w:tcPr>
            <w:tcW w:w="992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t>6.其他檢查，</w:t>
            </w:r>
            <w:proofErr w:type="gramStart"/>
            <w:r w:rsidRPr="008C72A6">
              <w:rPr>
                <w:rFonts w:ascii="標楷體" w:eastAsia="標楷體" w:hAnsi="標楷體" w:cs="新細明體"/>
                <w:b/>
                <w:bCs/>
                <w:kern w:val="0"/>
                <w:szCs w:val="24"/>
              </w:rPr>
              <w:t>請敘明</w:t>
            </w:r>
            <w:proofErr w:type="gramEnd"/>
            <w:r w:rsidRPr="008C72A6">
              <w:rPr>
                <w:rFonts w:ascii="標楷體" w:eastAsia="標楷體" w:hAnsi="標楷體" w:cs="新細明體"/>
                <w:b/>
                <w:bCs/>
                <w:kern w:val="0"/>
                <w:szCs w:val="24"/>
              </w:rPr>
              <w:t>:</w:t>
            </w:r>
            <w:r w:rsidRPr="008C72A6">
              <w:rPr>
                <w:rFonts w:ascii="標楷體" w:eastAsia="標楷體" w:hAnsi="標楷體" w:cs="新細明體" w:hint="eastAsia"/>
                <w:kern w:val="0"/>
                <w:szCs w:val="24"/>
                <w:u w:val="single"/>
              </w:rPr>
              <w:t>                                                            </w:t>
            </w:r>
          </w:p>
        </w:tc>
      </w:tr>
      <w:tr w:rsidR="008C72A6" w:rsidRPr="008C72A6" w:rsidTr="00BA5842">
        <w:tc>
          <w:tcPr>
            <w:tcW w:w="9923" w:type="dxa"/>
            <w:gridSpan w:val="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t>四、評估</w:t>
            </w:r>
            <w:bookmarkEnd w:id="41"/>
            <w:r w:rsidRPr="008C72A6">
              <w:rPr>
                <w:rFonts w:ascii="標楷體" w:eastAsia="標楷體" w:hAnsi="標楷體" w:cs="新細明體"/>
                <w:kern w:val="0"/>
                <w:szCs w:val="24"/>
              </w:rPr>
              <w:t>結果與建議</w:t>
            </w:r>
          </w:p>
        </w:tc>
      </w:tr>
      <w:tr w:rsidR="008C72A6" w:rsidRPr="008C72A6" w:rsidTr="00BA5842">
        <w:trPr>
          <w:trHeight w:val="530"/>
        </w:trPr>
        <w:tc>
          <w:tcPr>
            <w:tcW w:w="9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lastRenderedPageBreak/>
              <w:t>評估結果</w:t>
            </w:r>
          </w:p>
        </w:tc>
        <w:tc>
          <w:tcPr>
            <w:tcW w:w="9006"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Pr="008C72A6">
              <w:rPr>
                <w:rFonts w:ascii="標楷體" w:eastAsia="標楷體" w:hAnsi="標楷體" w:cs="新細明體"/>
                <w:kern w:val="0"/>
                <w:szCs w:val="24"/>
              </w:rPr>
              <w:br/>
              <w:t>              □1.可從事目前工作，但須考量下列條件限制: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w:t>
            </w:r>
            <w:proofErr w:type="gramStart"/>
            <w:r w:rsidRPr="008C72A6">
              <w:rPr>
                <w:rFonts w:ascii="標楷體" w:eastAsia="標楷體" w:hAnsi="標楷體" w:cs="新細明體"/>
                <w:kern w:val="0"/>
                <w:szCs w:val="24"/>
              </w:rPr>
              <w:t>（</w:t>
            </w:r>
            <w:proofErr w:type="gramEnd"/>
            <w:r w:rsidRPr="008C72A6">
              <w:rPr>
                <w:rFonts w:ascii="標楷體" w:eastAsia="標楷體" w:hAnsi="標楷體" w:cs="新細明體"/>
                <w:kern w:val="0"/>
                <w:szCs w:val="24"/>
              </w:rPr>
              <w:t>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xml:space="preserve">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A7058">
            <w:pPr>
              <w:widowControl/>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2B3D0D" w:rsidRPr="008C72A6" w:rsidRDefault="002B3D0D" w:rsidP="003A1520">
      <w:pPr>
        <w:tabs>
          <w:tab w:val="left" w:pos="567"/>
        </w:tabs>
        <w:snapToGrid w:val="0"/>
        <w:rPr>
          <w:rFonts w:ascii="Times New Roman" w:eastAsia="標楷體" w:hAnsi="Times New Roman" w:cs="Times New Roman"/>
          <w:b/>
          <w:szCs w:val="24"/>
        </w:rPr>
      </w:pPr>
    </w:p>
    <w:sectPr w:rsidR="002B3D0D" w:rsidRPr="008C72A6" w:rsidSect="00DC672E">
      <w:footerReference w:type="default" r:id="rId9"/>
      <w:footerReference w:type="first" r:id="rId10"/>
      <w:pgSz w:w="11906" w:h="16838"/>
      <w:pgMar w:top="720" w:right="1418" w:bottom="720" w:left="1418"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6A" w:rsidRDefault="00EB346A" w:rsidP="008A46C6">
      <w:r>
        <w:separator/>
      </w:r>
    </w:p>
  </w:endnote>
  <w:endnote w:type="continuationSeparator" w:id="0">
    <w:p w:rsidR="00EB346A" w:rsidRDefault="00EB346A"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65" w:rsidRPr="008640F2" w:rsidRDefault="00A13D65" w:rsidP="00A13D65">
    <w:pPr>
      <w:pStyle w:val="a6"/>
      <w:jc w:val="center"/>
      <w:rPr>
        <w:rFonts w:ascii="Times New Roman" w:eastAsia="標楷體" w:hAnsi="Times New Roman"/>
      </w:rPr>
    </w:pPr>
    <w:r w:rsidRPr="008640F2">
      <w:rPr>
        <w:rFonts w:ascii="Times New Roman" w:eastAsia="標楷體" w:hAnsi="Times New Roman"/>
      </w:rPr>
      <w:t>第</w:t>
    </w:r>
    <w:r w:rsidR="00431E85"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00431E85" w:rsidRPr="008640F2">
      <w:rPr>
        <w:rFonts w:ascii="Times New Roman" w:eastAsia="標楷體" w:hAnsi="Times New Roman"/>
      </w:rPr>
      <w:fldChar w:fldCharType="separate"/>
    </w:r>
    <w:r w:rsidR="001D33B2" w:rsidRPr="001D33B2">
      <w:rPr>
        <w:rFonts w:ascii="Times New Roman" w:eastAsia="標楷體" w:hAnsi="Times New Roman"/>
        <w:noProof/>
        <w:lang w:val="zh-TW"/>
      </w:rPr>
      <w:t>5</w:t>
    </w:r>
    <w:r w:rsidR="00431E85" w:rsidRPr="008640F2">
      <w:rPr>
        <w:rFonts w:ascii="Times New Roman" w:eastAsia="標楷體" w:hAnsi="Times New Roman"/>
      </w:rPr>
      <w:fldChar w:fldCharType="end"/>
    </w:r>
    <w:r w:rsidRPr="008640F2">
      <w:rPr>
        <w:rFonts w:ascii="Times New Roman" w:eastAsia="標楷體" w:hAnsi="Times New Roman"/>
      </w:rPr>
      <w:t>頁</w:t>
    </w:r>
    <w:r w:rsidRPr="008640F2">
      <w:rPr>
        <w:rFonts w:ascii="Times New Roman" w:eastAsia="標楷體" w:hAnsi="Times New Roman"/>
      </w:rPr>
      <w:t>/</w:t>
    </w:r>
    <w:r w:rsidRPr="008640F2">
      <w:rPr>
        <w:rFonts w:ascii="Times New Roman" w:eastAsia="標楷體" w:hAnsi="Times New Roman"/>
      </w:rPr>
      <w:t>共</w:t>
    </w:r>
    <w:r w:rsidR="00B87A60" w:rsidRPr="008640F2">
      <w:rPr>
        <w:rFonts w:ascii="Times New Roman" w:eastAsia="標楷體" w:hAnsi="Times New Roman"/>
      </w:rPr>
      <w:t>5</w:t>
    </w:r>
    <w:r w:rsidRPr="008640F2">
      <w:rPr>
        <w:rFonts w:ascii="Times New Roman" w:eastAsia="標楷體" w:hAnsi="Times New Roman"/>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73" w:rsidRPr="008640F2" w:rsidRDefault="00A13D65" w:rsidP="00A13D65">
    <w:pPr>
      <w:pStyle w:val="a6"/>
      <w:jc w:val="center"/>
      <w:rPr>
        <w:rFonts w:ascii="Times New Roman" w:eastAsia="標楷體" w:hAnsi="Times New Roman"/>
      </w:rPr>
    </w:pPr>
    <w:r w:rsidRPr="008640F2">
      <w:rPr>
        <w:rFonts w:ascii="Times New Roman" w:eastAsia="標楷體" w:hAnsi="Times New Roman"/>
      </w:rPr>
      <w:t>第</w:t>
    </w:r>
    <w:r w:rsidR="00431E85" w:rsidRPr="008640F2">
      <w:rPr>
        <w:rFonts w:ascii="Times New Roman" w:eastAsia="標楷體" w:hAnsi="Times New Roman"/>
      </w:rPr>
      <w:fldChar w:fldCharType="begin"/>
    </w:r>
    <w:r w:rsidR="003E0E73" w:rsidRPr="008640F2">
      <w:rPr>
        <w:rFonts w:ascii="Times New Roman" w:eastAsia="標楷體" w:hAnsi="Times New Roman"/>
      </w:rPr>
      <w:instrText>PAGE   \* MERGEFORMAT</w:instrText>
    </w:r>
    <w:r w:rsidR="00431E85" w:rsidRPr="008640F2">
      <w:rPr>
        <w:rFonts w:ascii="Times New Roman" w:eastAsia="標楷體" w:hAnsi="Times New Roman"/>
      </w:rPr>
      <w:fldChar w:fldCharType="separate"/>
    </w:r>
    <w:r w:rsidR="001D33B2" w:rsidRPr="001D33B2">
      <w:rPr>
        <w:rFonts w:ascii="Times New Roman" w:eastAsia="標楷體" w:hAnsi="Times New Roman"/>
        <w:noProof/>
        <w:lang w:val="zh-TW"/>
      </w:rPr>
      <w:t>1</w:t>
    </w:r>
    <w:r w:rsidR="00431E85" w:rsidRPr="008640F2">
      <w:rPr>
        <w:rFonts w:ascii="Times New Roman" w:eastAsia="標楷體" w:hAnsi="Times New Roman"/>
      </w:rPr>
      <w:fldChar w:fldCharType="end"/>
    </w:r>
    <w:r w:rsidRPr="008640F2">
      <w:rPr>
        <w:rFonts w:ascii="Times New Roman" w:eastAsia="標楷體" w:hAnsi="Times New Roman"/>
      </w:rPr>
      <w:t>頁</w:t>
    </w:r>
    <w:r w:rsidRPr="008640F2">
      <w:rPr>
        <w:rFonts w:ascii="Times New Roman" w:eastAsia="標楷體" w:hAnsi="Times New Roman"/>
      </w:rPr>
      <w:t>/</w:t>
    </w:r>
    <w:r w:rsidRPr="008640F2">
      <w:rPr>
        <w:rFonts w:ascii="Times New Roman" w:eastAsia="標楷體" w:hAnsi="Times New Roman"/>
      </w:rPr>
      <w:t>共</w:t>
    </w:r>
    <w:r w:rsidR="00B87A60" w:rsidRPr="008640F2">
      <w:rPr>
        <w:rFonts w:ascii="Times New Roman" w:eastAsia="標楷體" w:hAnsi="Times New Roman"/>
      </w:rPr>
      <w:t>5</w:t>
    </w:r>
    <w:r w:rsidRPr="008640F2">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6A" w:rsidRDefault="00EB346A" w:rsidP="008A46C6">
      <w:r>
        <w:separator/>
      </w:r>
    </w:p>
  </w:footnote>
  <w:footnote w:type="continuationSeparator" w:id="0">
    <w:p w:rsidR="00EB346A" w:rsidRDefault="00EB346A" w:rsidP="008A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EB126D"/>
    <w:multiLevelType w:val="hybridMultilevel"/>
    <w:tmpl w:val="AE0C8B74"/>
    <w:lvl w:ilvl="0" w:tplc="408A64CE">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6">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5">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28">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4"/>
  </w:num>
  <w:num w:numId="2">
    <w:abstractNumId w:val="10"/>
  </w:num>
  <w:num w:numId="3">
    <w:abstractNumId w:val="2"/>
  </w:num>
  <w:num w:numId="4">
    <w:abstractNumId w:val="6"/>
  </w:num>
  <w:num w:numId="5">
    <w:abstractNumId w:val="17"/>
  </w:num>
  <w:num w:numId="6">
    <w:abstractNumId w:val="28"/>
  </w:num>
  <w:num w:numId="7">
    <w:abstractNumId w:val="0"/>
  </w:num>
  <w:num w:numId="8">
    <w:abstractNumId w:val="25"/>
  </w:num>
  <w:num w:numId="9">
    <w:abstractNumId w:val="21"/>
  </w:num>
  <w:num w:numId="10">
    <w:abstractNumId w:val="8"/>
  </w:num>
  <w:num w:numId="11">
    <w:abstractNumId w:val="23"/>
  </w:num>
  <w:num w:numId="12">
    <w:abstractNumId w:val="16"/>
  </w:num>
  <w:num w:numId="13">
    <w:abstractNumId w:val="27"/>
  </w:num>
  <w:num w:numId="14">
    <w:abstractNumId w:val="15"/>
  </w:num>
  <w:num w:numId="15">
    <w:abstractNumId w:val="4"/>
  </w:num>
  <w:num w:numId="16">
    <w:abstractNumId w:val="9"/>
  </w:num>
  <w:num w:numId="17">
    <w:abstractNumId w:val="20"/>
  </w:num>
  <w:num w:numId="18">
    <w:abstractNumId w:val="12"/>
  </w:num>
  <w:num w:numId="19">
    <w:abstractNumId w:val="22"/>
  </w:num>
  <w:num w:numId="20">
    <w:abstractNumId w:val="1"/>
  </w:num>
  <w:num w:numId="21">
    <w:abstractNumId w:val="26"/>
  </w:num>
  <w:num w:numId="22">
    <w:abstractNumId w:val="3"/>
  </w:num>
  <w:num w:numId="23">
    <w:abstractNumId w:val="13"/>
  </w:num>
  <w:num w:numId="24">
    <w:abstractNumId w:val="19"/>
  </w:num>
  <w:num w:numId="25">
    <w:abstractNumId w:val="18"/>
  </w:num>
  <w:num w:numId="26">
    <w:abstractNumId w:val="7"/>
  </w:num>
  <w:num w:numId="27">
    <w:abstractNumId w:val="14"/>
  </w:num>
  <w:num w:numId="28">
    <w:abstractNumId w:val="5"/>
  </w:num>
  <w:num w:numId="2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80A1F"/>
    <w:rsid w:val="0008214E"/>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D33B2"/>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86A1E"/>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0AC"/>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1E85"/>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4D7C"/>
    <w:rsid w:val="004954DB"/>
    <w:rsid w:val="004A1011"/>
    <w:rsid w:val="004A1C25"/>
    <w:rsid w:val="004A3BCD"/>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18BB"/>
    <w:rsid w:val="00525640"/>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A40C0"/>
    <w:rsid w:val="005B4DA4"/>
    <w:rsid w:val="005B7D3D"/>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684"/>
    <w:rsid w:val="006F469E"/>
    <w:rsid w:val="006F6110"/>
    <w:rsid w:val="00703B27"/>
    <w:rsid w:val="00710765"/>
    <w:rsid w:val="00711210"/>
    <w:rsid w:val="00713442"/>
    <w:rsid w:val="00713AA5"/>
    <w:rsid w:val="00714AE8"/>
    <w:rsid w:val="00716925"/>
    <w:rsid w:val="00716CC6"/>
    <w:rsid w:val="007178CB"/>
    <w:rsid w:val="00722281"/>
    <w:rsid w:val="007306B3"/>
    <w:rsid w:val="00731D8A"/>
    <w:rsid w:val="0073408A"/>
    <w:rsid w:val="00736449"/>
    <w:rsid w:val="00736C86"/>
    <w:rsid w:val="007371B0"/>
    <w:rsid w:val="00740C44"/>
    <w:rsid w:val="007414CD"/>
    <w:rsid w:val="00744C72"/>
    <w:rsid w:val="00746929"/>
    <w:rsid w:val="007479EA"/>
    <w:rsid w:val="00753051"/>
    <w:rsid w:val="00761837"/>
    <w:rsid w:val="00762735"/>
    <w:rsid w:val="007646FF"/>
    <w:rsid w:val="00765C43"/>
    <w:rsid w:val="00765D68"/>
    <w:rsid w:val="0076662D"/>
    <w:rsid w:val="00766E43"/>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72A6"/>
    <w:rsid w:val="008D0B50"/>
    <w:rsid w:val="008D123D"/>
    <w:rsid w:val="008D1FE9"/>
    <w:rsid w:val="008D3F83"/>
    <w:rsid w:val="008D57EB"/>
    <w:rsid w:val="008E5547"/>
    <w:rsid w:val="008E64A3"/>
    <w:rsid w:val="008F4E04"/>
    <w:rsid w:val="00901545"/>
    <w:rsid w:val="00903877"/>
    <w:rsid w:val="00904695"/>
    <w:rsid w:val="00912B37"/>
    <w:rsid w:val="00916ACC"/>
    <w:rsid w:val="00920CF3"/>
    <w:rsid w:val="00921681"/>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668C"/>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5842"/>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3FB0"/>
    <w:rsid w:val="00CA5FEB"/>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346A"/>
    <w:rsid w:val="00EB512F"/>
    <w:rsid w:val="00EB5457"/>
    <w:rsid w:val="00EB5695"/>
    <w:rsid w:val="00EC039E"/>
    <w:rsid w:val="00EC17A3"/>
    <w:rsid w:val="00ED6B76"/>
    <w:rsid w:val="00EE78C8"/>
    <w:rsid w:val="00EF2FC6"/>
    <w:rsid w:val="00EF30AA"/>
    <w:rsid w:val="00EF38CF"/>
    <w:rsid w:val="00EF4733"/>
    <w:rsid w:val="00F03BEB"/>
    <w:rsid w:val="00F05654"/>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140A-395F-4B9E-8E78-C24C8C3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F2EB-C44E-43C7-BEEE-4023FE28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2</cp:revision>
  <cp:lastPrinted>2019-02-18T04:25:00Z</cp:lastPrinted>
  <dcterms:created xsi:type="dcterms:W3CDTF">2023-08-08T06:53:00Z</dcterms:created>
  <dcterms:modified xsi:type="dcterms:W3CDTF">2023-08-08T06:53:00Z</dcterms:modified>
</cp:coreProperties>
</file>