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89" w:rsidRDefault="00F96E0A" w:rsidP="00E9684F">
      <w:pPr>
        <w:rPr>
          <w:rFonts w:ascii="標楷體" w:eastAsia="標楷體" w:hAnsi="標楷體" w:cs="Tahoma"/>
          <w:color w:val="000000"/>
          <w:sz w:val="36"/>
          <w:szCs w:val="36"/>
        </w:rPr>
      </w:pPr>
      <w:r w:rsidRPr="00EC74FB">
        <w:rPr>
          <w:rFonts w:ascii="標楷體" w:eastAsia="標楷體" w:hAnsi="標楷體" w:cs="Tahoma" w:hint="eastAsia"/>
          <w:color w:val="000000"/>
          <w:sz w:val="36"/>
          <w:szCs w:val="36"/>
        </w:rPr>
        <w:t>國立東港高級海事水產職業學校學生</w:t>
      </w:r>
      <w:r w:rsidR="00241D56">
        <w:rPr>
          <w:rFonts w:ascii="標楷體" w:eastAsia="標楷體" w:hAnsi="標楷體" w:cs="Tahoma" w:hint="eastAsia"/>
          <w:color w:val="000000"/>
          <w:sz w:val="36"/>
          <w:szCs w:val="36"/>
        </w:rPr>
        <w:t>學業成績</w:t>
      </w:r>
      <w:r w:rsidR="00E43489">
        <w:rPr>
          <w:rFonts w:ascii="標楷體" w:eastAsia="標楷體" w:hAnsi="標楷體" w:cs="Tahoma" w:hint="eastAsia"/>
          <w:color w:val="000000"/>
          <w:sz w:val="36"/>
          <w:szCs w:val="36"/>
        </w:rPr>
        <w:t>評量</w:t>
      </w:r>
    </w:p>
    <w:p w:rsidR="00F96E0A" w:rsidRDefault="002442BC" w:rsidP="00E9684F">
      <w:pPr>
        <w:rPr>
          <w:rFonts w:ascii="標楷體" w:eastAsia="標楷體" w:hAnsi="標楷體" w:cs="Tahoma"/>
          <w:color w:val="000000"/>
          <w:spacing w:val="-12"/>
          <w:sz w:val="36"/>
          <w:szCs w:val="36"/>
        </w:rPr>
      </w:pPr>
      <w:proofErr w:type="gramStart"/>
      <w:r>
        <w:rPr>
          <w:rFonts w:ascii="標楷體" w:eastAsia="標楷體" w:hAnsi="標楷體" w:cs="Tahoma" w:hint="eastAsia"/>
          <w:color w:val="000000"/>
          <w:sz w:val="36"/>
          <w:szCs w:val="36"/>
        </w:rPr>
        <w:t>占分比率</w:t>
      </w:r>
      <w:proofErr w:type="gramEnd"/>
      <w:r w:rsidR="005F76C1">
        <w:rPr>
          <w:rFonts w:ascii="標楷體" w:eastAsia="標楷體" w:hAnsi="標楷體" w:cs="Tahoma" w:hint="eastAsia"/>
          <w:color w:val="000000"/>
          <w:sz w:val="36"/>
          <w:szCs w:val="36"/>
        </w:rPr>
        <w:t>規定</w:t>
      </w:r>
    </w:p>
    <w:p w:rsidR="00736829" w:rsidRPr="00736829" w:rsidRDefault="00F62D62" w:rsidP="001225D0">
      <w:pPr>
        <w:wordWrap w:val="0"/>
        <w:jc w:val="right"/>
        <w:rPr>
          <w:rFonts w:ascii="標楷體" w:eastAsia="標楷體" w:hAnsi="標楷體" w:cs="Tahoma"/>
          <w:color w:val="000000"/>
          <w:spacing w:val="-12"/>
        </w:rPr>
      </w:pPr>
      <w:r>
        <w:rPr>
          <w:rFonts w:ascii="標楷體" w:eastAsia="標楷體" w:hAnsi="標楷體" w:cs="Tahoma" w:hint="eastAsia"/>
          <w:color w:val="000000"/>
          <w:spacing w:val="-12"/>
        </w:rPr>
        <w:t>中華民國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10</w:t>
      </w:r>
      <w:r w:rsidR="00AF3C23">
        <w:rPr>
          <w:rFonts w:ascii="標楷體" w:eastAsia="標楷體" w:hAnsi="標楷體" w:cs="Tahoma" w:hint="eastAsia"/>
          <w:color w:val="000000"/>
          <w:spacing w:val="-12"/>
        </w:rPr>
        <w:t>4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年</w:t>
      </w:r>
      <w:r w:rsidR="001225D0" w:rsidRPr="001225D0">
        <w:rPr>
          <w:rFonts w:ascii="標楷體" w:eastAsia="標楷體" w:hAnsi="標楷體" w:cs="Tahoma" w:hint="eastAsia"/>
          <w:color w:val="000000"/>
          <w:spacing w:val="-12"/>
        </w:rPr>
        <w:t>1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月</w:t>
      </w:r>
      <w:r w:rsidR="001225D0" w:rsidRPr="001225D0">
        <w:rPr>
          <w:rFonts w:ascii="標楷體" w:eastAsia="標楷體" w:hAnsi="標楷體" w:cs="Tahoma" w:hint="eastAsia"/>
          <w:color w:val="000000"/>
          <w:spacing w:val="-12"/>
        </w:rPr>
        <w:t>20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日</w:t>
      </w:r>
      <w:r w:rsidR="00E11664">
        <w:rPr>
          <w:rFonts w:ascii="標楷體" w:eastAsia="標楷體" w:hAnsi="標楷體" w:cs="Tahoma" w:hint="eastAsia"/>
          <w:color w:val="000000"/>
          <w:spacing w:val="-12"/>
        </w:rPr>
        <w:t>校務會議</w:t>
      </w:r>
      <w:r w:rsidR="001225D0">
        <w:rPr>
          <w:rFonts w:ascii="標楷體" w:eastAsia="標楷體" w:hAnsi="標楷體" w:cs="Tahoma" w:hint="eastAsia"/>
          <w:color w:val="000000"/>
          <w:spacing w:val="-12"/>
        </w:rPr>
        <w:t>通過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一、本規定依據「高級中等學校學生學習評量辦法」(以下簡稱評量辦法)第四條訂定。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二、學業成績評量應按</w:t>
      </w:r>
      <w:bookmarkStart w:id="0" w:name="_GoBack"/>
      <w:bookmarkEnd w:id="0"/>
      <w:r w:rsidRPr="001225D0">
        <w:rPr>
          <w:rFonts w:ascii="標楷體" w:eastAsia="標楷體" w:hAnsi="標楷體" w:hint="eastAsia"/>
        </w:rPr>
        <w:t>學生身心發展與個別差異，並依學科及活動之性質，兼顧認知、技能及情意等教學目標，採多元評量方式，於日常及定期為之。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三、學業成績評量之科目及學分數，依教育部所訂課程標準或課程綱要之規定，其範圍包含一般科目及專業科目(含實習)。</w:t>
      </w:r>
    </w:p>
    <w:p w:rsidR="001225D0" w:rsidRPr="001225D0" w:rsidRDefault="001225D0" w:rsidP="001225D0">
      <w:pPr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四、學業成績評量方式分下列二種：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</w:t>
      </w:r>
      <w:proofErr w:type="gramStart"/>
      <w:r w:rsidRPr="001225D0">
        <w:rPr>
          <w:rFonts w:ascii="標楷體" w:eastAsia="標楷體" w:hAnsi="標楷體" w:hint="eastAsia"/>
        </w:rPr>
        <w:t>一</w:t>
      </w:r>
      <w:proofErr w:type="gramEnd"/>
      <w:r w:rsidRPr="001225D0">
        <w:rPr>
          <w:rFonts w:ascii="標楷體" w:eastAsia="標楷體" w:hAnsi="標楷體" w:hint="eastAsia"/>
        </w:rPr>
        <w:t>)日常評量：</w:t>
      </w:r>
    </w:p>
    <w:p w:rsidR="001225D0" w:rsidRPr="001225D0" w:rsidRDefault="001225D0" w:rsidP="001225D0">
      <w:pPr>
        <w:ind w:leftChars="300" w:left="72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係指教師在平時教學</w:t>
      </w:r>
      <w:proofErr w:type="gramStart"/>
      <w:r w:rsidRPr="001225D0">
        <w:rPr>
          <w:rFonts w:ascii="標楷體" w:eastAsia="標楷體" w:hAnsi="標楷體" w:hint="eastAsia"/>
        </w:rPr>
        <w:t>期間，</w:t>
      </w:r>
      <w:proofErr w:type="gramEnd"/>
      <w:r w:rsidRPr="001225D0">
        <w:rPr>
          <w:rFonts w:ascii="標楷體" w:eastAsia="標楷體" w:hAnsi="標楷體" w:hint="eastAsia"/>
        </w:rPr>
        <w:t>不定時以問答、報告、實驗、表演、鑑賞、實作、寫作、紙筆測驗、作業練習，或其他具有學習意義之方式行之。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(二)定期評量：</w:t>
      </w:r>
    </w:p>
    <w:p w:rsidR="001225D0" w:rsidRPr="001225D0" w:rsidRDefault="001225D0" w:rsidP="001225D0">
      <w:pPr>
        <w:ind w:leftChars="300" w:left="72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係指由教務處排定時間統一辦理，並以紙筆測驗方式行之。其於學期中舉辦者稱期中考，學期終了舉辦者稱期末考。</w:t>
      </w:r>
    </w:p>
    <w:p w:rsidR="001225D0" w:rsidRPr="001225D0" w:rsidRDefault="001225D0" w:rsidP="001225D0">
      <w:pPr>
        <w:ind w:leftChars="300" w:left="72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一般科目藝術領域、健康與體育領域及生活領域之生涯規劃及專業科目(含實習)依其教學目標，得</w:t>
      </w:r>
      <w:proofErr w:type="gramStart"/>
      <w:r w:rsidRPr="001225D0">
        <w:rPr>
          <w:rFonts w:ascii="標楷體" w:eastAsia="標楷體" w:hAnsi="標楷體" w:hint="eastAsia"/>
        </w:rPr>
        <w:t>採</w:t>
      </w:r>
      <w:proofErr w:type="gramEnd"/>
      <w:r w:rsidRPr="001225D0">
        <w:rPr>
          <w:rFonts w:ascii="標楷體" w:eastAsia="標楷體" w:hAnsi="標楷體" w:hint="eastAsia"/>
        </w:rPr>
        <w:t>多元彈性評量方式。</w:t>
      </w:r>
    </w:p>
    <w:p w:rsidR="001225D0" w:rsidRPr="001225D0" w:rsidRDefault="001225D0" w:rsidP="001225D0">
      <w:pPr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五、各學科定期評量舉行次數規定如下：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</w:t>
      </w:r>
      <w:proofErr w:type="gramStart"/>
      <w:r w:rsidRPr="001225D0">
        <w:rPr>
          <w:rFonts w:ascii="標楷體" w:eastAsia="標楷體" w:hAnsi="標楷體" w:hint="eastAsia"/>
        </w:rPr>
        <w:t>一</w:t>
      </w:r>
      <w:proofErr w:type="gramEnd"/>
      <w:r w:rsidRPr="001225D0">
        <w:rPr>
          <w:rFonts w:ascii="標楷體" w:eastAsia="標楷體" w:hAnsi="標楷體" w:hint="eastAsia"/>
        </w:rPr>
        <w:t>)一般科目藝術領域及實習科目僅舉行期末考。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(二)一般科目學分數</w:t>
      </w:r>
      <w:proofErr w:type="gramStart"/>
      <w:r w:rsidRPr="001225D0">
        <w:rPr>
          <w:rFonts w:ascii="標楷體" w:eastAsia="標楷體" w:hAnsi="標楷體" w:hint="eastAsia"/>
        </w:rPr>
        <w:t>一</w:t>
      </w:r>
      <w:proofErr w:type="gramEnd"/>
      <w:r w:rsidRPr="001225D0">
        <w:rPr>
          <w:rFonts w:ascii="標楷體" w:eastAsia="標楷體" w:hAnsi="標楷體" w:hint="eastAsia"/>
        </w:rPr>
        <w:t>學分者舉行一次期中考及期末考。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(三)其餘科目舉行二次期中考及期末考。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六、學業成績評分比率日常評量占百分之四十、定期評量占百分之六十，其中期中考舉行二次者，連同期末考，每次考試比率各占百分之二十；舉行一次者，連同期末考，每次考試比例各占百分之三十，未舉行期中考者，期末考成績占百分之六十。</w:t>
      </w:r>
    </w:p>
    <w:p w:rsidR="001225D0" w:rsidRPr="001225D0" w:rsidRDefault="001225D0" w:rsidP="001225D0">
      <w:pPr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七、實習科目評分比率及內容依下列規定：</w:t>
      </w:r>
    </w:p>
    <w:p w:rsidR="001225D0" w:rsidRPr="001225D0" w:rsidRDefault="001225D0" w:rsidP="001225D0">
      <w:pPr>
        <w:ind w:leftChars="100" w:left="72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</w:t>
      </w:r>
      <w:proofErr w:type="gramStart"/>
      <w:r w:rsidRPr="001225D0">
        <w:rPr>
          <w:rFonts w:ascii="標楷體" w:eastAsia="標楷體" w:hAnsi="標楷體" w:hint="eastAsia"/>
        </w:rPr>
        <w:t>一</w:t>
      </w:r>
      <w:proofErr w:type="gramEnd"/>
      <w:r w:rsidRPr="001225D0">
        <w:rPr>
          <w:rFonts w:ascii="標楷體" w:eastAsia="標楷體" w:hAnsi="標楷體" w:hint="eastAsia"/>
        </w:rPr>
        <w:t>)實習技能占百分之六十：含工作方法、成品、實驗結果、技能測驗及實驗報告。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(二)職業道德占百分之三十：含工作勤</w:t>
      </w:r>
      <w:proofErr w:type="gramStart"/>
      <w:r w:rsidRPr="001225D0">
        <w:rPr>
          <w:rFonts w:ascii="標楷體" w:eastAsia="標楷體" w:hAnsi="標楷體" w:hint="eastAsia"/>
        </w:rPr>
        <w:t>惰</w:t>
      </w:r>
      <w:proofErr w:type="gramEnd"/>
      <w:r w:rsidRPr="001225D0">
        <w:rPr>
          <w:rFonts w:ascii="標楷體" w:eastAsia="標楷體" w:hAnsi="標楷體" w:hint="eastAsia"/>
        </w:rPr>
        <w:t>、設備保養、學習態度及安全觀念。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(三)相關知識占百分之十：含日常評量及定期評量。</w:t>
      </w:r>
    </w:p>
    <w:p w:rsidR="001225D0" w:rsidRPr="001225D0" w:rsidRDefault="001225D0" w:rsidP="001225D0">
      <w:pPr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八、一般科目之藝術領域科目與體育科目評分比率依下列規定：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</w:t>
      </w:r>
      <w:proofErr w:type="gramStart"/>
      <w:r w:rsidRPr="001225D0">
        <w:rPr>
          <w:rFonts w:ascii="標楷體" w:eastAsia="標楷體" w:hAnsi="標楷體" w:hint="eastAsia"/>
        </w:rPr>
        <w:t>一</w:t>
      </w:r>
      <w:proofErr w:type="gramEnd"/>
      <w:r w:rsidRPr="001225D0">
        <w:rPr>
          <w:rFonts w:ascii="標楷體" w:eastAsia="標楷體" w:hAnsi="標楷體" w:hint="eastAsia"/>
        </w:rPr>
        <w:t>)技能占百分之六十。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(二)情意占百分之三十。</w:t>
      </w:r>
    </w:p>
    <w:p w:rsidR="001225D0" w:rsidRPr="001225D0" w:rsidRDefault="001225D0" w:rsidP="001225D0">
      <w:pPr>
        <w:ind w:leftChars="100" w:left="24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(三)認知占百分之十。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九、教師依前二點規定為成績評定時，應加強形成性評量，該科目如有學生不及</w:t>
      </w:r>
      <w:r w:rsidRPr="001225D0">
        <w:rPr>
          <w:rFonts w:ascii="標楷體" w:eastAsia="標楷體" w:hAnsi="標楷體" w:hint="eastAsia"/>
        </w:rPr>
        <w:lastRenderedPageBreak/>
        <w:t>格時，應檢附平時輔導紀錄及期末補救措施。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十、成績評量</w:t>
      </w:r>
      <w:proofErr w:type="gramStart"/>
      <w:r w:rsidRPr="001225D0">
        <w:rPr>
          <w:rFonts w:ascii="標楷體" w:eastAsia="標楷體" w:hAnsi="標楷體" w:hint="eastAsia"/>
        </w:rPr>
        <w:t>採</w:t>
      </w:r>
      <w:proofErr w:type="gramEnd"/>
      <w:r w:rsidRPr="001225D0">
        <w:rPr>
          <w:rFonts w:ascii="標楷體" w:eastAsia="標楷體" w:hAnsi="標楷體" w:hint="eastAsia"/>
        </w:rPr>
        <w:t>百分制評定，以一百分為滿分，六十分為及格。但特殊身分學生另有規定者，從其規定。</w:t>
      </w:r>
    </w:p>
    <w:p w:rsidR="001225D0" w:rsidRPr="001225D0" w:rsidRDefault="001225D0" w:rsidP="001225D0">
      <w:pPr>
        <w:ind w:left="480" w:hangingChars="200" w:hanging="480"/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十一、各項成績之</w:t>
      </w:r>
      <w:proofErr w:type="gramStart"/>
      <w:r w:rsidRPr="001225D0">
        <w:rPr>
          <w:rFonts w:ascii="標楷體" w:eastAsia="標楷體" w:hAnsi="標楷體" w:hint="eastAsia"/>
        </w:rPr>
        <w:t>計算均取整數</w:t>
      </w:r>
      <w:proofErr w:type="gramEnd"/>
      <w:r w:rsidRPr="001225D0">
        <w:rPr>
          <w:rFonts w:ascii="標楷體" w:eastAsia="標楷體" w:hAnsi="標楷體" w:hint="eastAsia"/>
        </w:rPr>
        <w:t>。但學期學業總平均成績、學年學業總平均成績及各科目學年學業成績</w:t>
      </w:r>
      <w:proofErr w:type="gramStart"/>
      <w:r w:rsidRPr="001225D0">
        <w:rPr>
          <w:rFonts w:ascii="標楷體" w:eastAsia="標楷體" w:hAnsi="標楷體" w:hint="eastAsia"/>
        </w:rPr>
        <w:t>採</w:t>
      </w:r>
      <w:proofErr w:type="gramEnd"/>
      <w:r w:rsidRPr="001225D0">
        <w:rPr>
          <w:rFonts w:ascii="標楷體" w:eastAsia="標楷體" w:hAnsi="標楷體" w:hint="eastAsia"/>
        </w:rPr>
        <w:t>計至小數點後第一位，第二位四捨五入。</w:t>
      </w:r>
    </w:p>
    <w:p w:rsidR="001225D0" w:rsidRPr="001225D0" w:rsidRDefault="001225D0" w:rsidP="001225D0">
      <w:pPr>
        <w:rPr>
          <w:rFonts w:ascii="標楷體" w:eastAsia="標楷體" w:hAnsi="標楷體"/>
        </w:rPr>
      </w:pPr>
      <w:r w:rsidRPr="001225D0">
        <w:rPr>
          <w:rFonts w:ascii="標楷體" w:eastAsia="標楷體" w:hAnsi="標楷體" w:hint="eastAsia"/>
        </w:rPr>
        <w:t>十二、本規定經校務會議通過後實施，修正時亦同。</w:t>
      </w:r>
    </w:p>
    <w:sectPr w:rsidR="001225D0" w:rsidRPr="001225D0" w:rsidSect="00801AA9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D0" w:rsidRDefault="001225D0" w:rsidP="004E1ECB">
      <w:r>
        <w:separator/>
      </w:r>
    </w:p>
  </w:endnote>
  <w:endnote w:type="continuationSeparator" w:id="0">
    <w:p w:rsidR="001225D0" w:rsidRDefault="001225D0" w:rsidP="004E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007353"/>
      <w:docPartObj>
        <w:docPartGallery w:val="Page Numbers (Bottom of Page)"/>
        <w:docPartUnique/>
      </w:docPartObj>
    </w:sdtPr>
    <w:sdtEndPr/>
    <w:sdtContent>
      <w:p w:rsidR="001225D0" w:rsidRDefault="001225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4F" w:rsidRPr="00E9684F">
          <w:rPr>
            <w:noProof/>
            <w:lang w:val="zh-TW"/>
          </w:rPr>
          <w:t>1</w:t>
        </w:r>
        <w:r>
          <w:fldChar w:fldCharType="end"/>
        </w:r>
      </w:p>
    </w:sdtContent>
  </w:sdt>
  <w:p w:rsidR="001225D0" w:rsidRDefault="001225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D0" w:rsidRDefault="001225D0" w:rsidP="004E1ECB">
      <w:r>
        <w:separator/>
      </w:r>
    </w:p>
  </w:footnote>
  <w:footnote w:type="continuationSeparator" w:id="0">
    <w:p w:rsidR="001225D0" w:rsidRDefault="001225D0" w:rsidP="004E1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D0" w:rsidRDefault="001225D0" w:rsidP="00A214F2">
    <w:pPr>
      <w:pStyle w:val="a4"/>
      <w:jc w:val="right"/>
    </w:pPr>
    <w:r>
      <w:rPr>
        <w:rFonts w:hint="eastAsia"/>
      </w:rPr>
      <w:t xml:space="preserve"> (</w:t>
    </w:r>
    <w:r>
      <w:rPr>
        <w:rFonts w:hint="eastAsia"/>
      </w:rPr>
      <w:t>雙面</w:t>
    </w:r>
    <w:r>
      <w:rPr>
        <w:rFonts w:hint="eastAsia"/>
      </w:rPr>
      <w:t>)</w:t>
    </w:r>
  </w:p>
  <w:p w:rsidR="001225D0" w:rsidRDefault="001225D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22A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">
    <w:nsid w:val="0A3424C9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>
    <w:nsid w:val="0C8445E4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">
    <w:nsid w:val="1527327A"/>
    <w:multiLevelType w:val="hybridMultilevel"/>
    <w:tmpl w:val="3E9C4C6E"/>
    <w:lvl w:ilvl="0" w:tplc="41E08F3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C87EB6"/>
    <w:multiLevelType w:val="hybridMultilevel"/>
    <w:tmpl w:val="962C7B48"/>
    <w:lvl w:ilvl="0" w:tplc="01F460CA">
      <w:start w:val="1"/>
      <w:numFmt w:val="taiwaneseCountingThousand"/>
      <w:lvlText w:val="(%1)"/>
      <w:lvlJc w:val="left"/>
      <w:pPr>
        <w:ind w:left="38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18" w:hanging="480"/>
      </w:pPr>
    </w:lvl>
    <w:lvl w:ilvl="2" w:tplc="0409001B" w:tentative="1">
      <w:start w:val="1"/>
      <w:numFmt w:val="lowerRoman"/>
      <w:lvlText w:val="%3."/>
      <w:lvlJc w:val="right"/>
      <w:pPr>
        <w:ind w:left="4798" w:hanging="480"/>
      </w:pPr>
    </w:lvl>
    <w:lvl w:ilvl="3" w:tplc="0409000F" w:tentative="1">
      <w:start w:val="1"/>
      <w:numFmt w:val="decimal"/>
      <w:lvlText w:val="%4."/>
      <w:lvlJc w:val="left"/>
      <w:pPr>
        <w:ind w:left="5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58" w:hanging="480"/>
      </w:pPr>
    </w:lvl>
    <w:lvl w:ilvl="5" w:tplc="0409001B" w:tentative="1">
      <w:start w:val="1"/>
      <w:numFmt w:val="lowerRoman"/>
      <w:lvlText w:val="%6."/>
      <w:lvlJc w:val="right"/>
      <w:pPr>
        <w:ind w:left="6238" w:hanging="480"/>
      </w:pPr>
    </w:lvl>
    <w:lvl w:ilvl="6" w:tplc="0409000F" w:tentative="1">
      <w:start w:val="1"/>
      <w:numFmt w:val="decimal"/>
      <w:lvlText w:val="%7."/>
      <w:lvlJc w:val="left"/>
      <w:pPr>
        <w:ind w:left="6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98" w:hanging="480"/>
      </w:pPr>
    </w:lvl>
    <w:lvl w:ilvl="8" w:tplc="0409001B" w:tentative="1">
      <w:start w:val="1"/>
      <w:numFmt w:val="lowerRoman"/>
      <w:lvlText w:val="%9."/>
      <w:lvlJc w:val="right"/>
      <w:pPr>
        <w:ind w:left="7678" w:hanging="480"/>
      </w:pPr>
    </w:lvl>
  </w:abstractNum>
  <w:abstractNum w:abstractNumId="5">
    <w:nsid w:val="2D1D63D8"/>
    <w:multiLevelType w:val="hybridMultilevel"/>
    <w:tmpl w:val="4D96FA32"/>
    <w:lvl w:ilvl="0" w:tplc="691CD198">
      <w:start w:val="1"/>
      <w:numFmt w:val="taiwaneseCountingThousand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2DE13E58"/>
    <w:multiLevelType w:val="hybridMultilevel"/>
    <w:tmpl w:val="C97EA3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A70E91"/>
    <w:multiLevelType w:val="hybridMultilevel"/>
    <w:tmpl w:val="143224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8614DC"/>
    <w:multiLevelType w:val="hybridMultilevel"/>
    <w:tmpl w:val="2CE6E6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6200B2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0">
    <w:nsid w:val="540E70F2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>
    <w:nsid w:val="5FB31535"/>
    <w:multiLevelType w:val="hybridMultilevel"/>
    <w:tmpl w:val="A454D660"/>
    <w:lvl w:ilvl="0" w:tplc="8C589C16">
      <w:start w:val="1"/>
      <w:numFmt w:val="taiwaneseCountingThousand"/>
      <w:lvlText w:val="(%1)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>
    <w:nsid w:val="6E7C5D46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3">
    <w:nsid w:val="7A3C1B1B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13"/>
  </w:num>
  <w:num w:numId="11">
    <w:abstractNumId w:val="0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0A"/>
    <w:rsid w:val="00015507"/>
    <w:rsid w:val="00021DEC"/>
    <w:rsid w:val="00032F14"/>
    <w:rsid w:val="000357B7"/>
    <w:rsid w:val="00055E6D"/>
    <w:rsid w:val="00061C53"/>
    <w:rsid w:val="000848B2"/>
    <w:rsid w:val="00091D82"/>
    <w:rsid w:val="000924F6"/>
    <w:rsid w:val="000A77A0"/>
    <w:rsid w:val="000B2DBB"/>
    <w:rsid w:val="000C4D8B"/>
    <w:rsid w:val="000E0F71"/>
    <w:rsid w:val="000F4537"/>
    <w:rsid w:val="00100B7E"/>
    <w:rsid w:val="00106200"/>
    <w:rsid w:val="001225D0"/>
    <w:rsid w:val="00126790"/>
    <w:rsid w:val="00137B8E"/>
    <w:rsid w:val="00137E69"/>
    <w:rsid w:val="00153F50"/>
    <w:rsid w:val="00170697"/>
    <w:rsid w:val="00172147"/>
    <w:rsid w:val="00182049"/>
    <w:rsid w:val="00187022"/>
    <w:rsid w:val="00190CB3"/>
    <w:rsid w:val="00191007"/>
    <w:rsid w:val="001A4E3F"/>
    <w:rsid w:val="001A5BF9"/>
    <w:rsid w:val="001B0316"/>
    <w:rsid w:val="00234D79"/>
    <w:rsid w:val="00237414"/>
    <w:rsid w:val="00241D56"/>
    <w:rsid w:val="002442BC"/>
    <w:rsid w:val="002529D9"/>
    <w:rsid w:val="002551A7"/>
    <w:rsid w:val="00291FA1"/>
    <w:rsid w:val="002A743F"/>
    <w:rsid w:val="002B2592"/>
    <w:rsid w:val="002B7BBF"/>
    <w:rsid w:val="002D17A2"/>
    <w:rsid w:val="002D4E9F"/>
    <w:rsid w:val="002E16C6"/>
    <w:rsid w:val="002F6BEE"/>
    <w:rsid w:val="00315CAD"/>
    <w:rsid w:val="00376E6A"/>
    <w:rsid w:val="003812CA"/>
    <w:rsid w:val="00382D8A"/>
    <w:rsid w:val="003950EC"/>
    <w:rsid w:val="0039746A"/>
    <w:rsid w:val="003C1435"/>
    <w:rsid w:val="003C23AA"/>
    <w:rsid w:val="003E0848"/>
    <w:rsid w:val="003E705D"/>
    <w:rsid w:val="004019E6"/>
    <w:rsid w:val="0040696F"/>
    <w:rsid w:val="00411CAC"/>
    <w:rsid w:val="004262D6"/>
    <w:rsid w:val="0043014E"/>
    <w:rsid w:val="00431032"/>
    <w:rsid w:val="0045704B"/>
    <w:rsid w:val="004714B6"/>
    <w:rsid w:val="00476D03"/>
    <w:rsid w:val="00493017"/>
    <w:rsid w:val="00496E04"/>
    <w:rsid w:val="004C5AE9"/>
    <w:rsid w:val="004E1ECB"/>
    <w:rsid w:val="004E2A14"/>
    <w:rsid w:val="0050141E"/>
    <w:rsid w:val="00517A2A"/>
    <w:rsid w:val="00526C3C"/>
    <w:rsid w:val="005346F0"/>
    <w:rsid w:val="005636CB"/>
    <w:rsid w:val="005848A0"/>
    <w:rsid w:val="0059183E"/>
    <w:rsid w:val="00595DE3"/>
    <w:rsid w:val="00597CD1"/>
    <w:rsid w:val="005D76BA"/>
    <w:rsid w:val="005E40A2"/>
    <w:rsid w:val="005F0A42"/>
    <w:rsid w:val="005F45EE"/>
    <w:rsid w:val="005F76C1"/>
    <w:rsid w:val="005F7890"/>
    <w:rsid w:val="00601DEC"/>
    <w:rsid w:val="00603372"/>
    <w:rsid w:val="00611DB1"/>
    <w:rsid w:val="00640374"/>
    <w:rsid w:val="00660AC1"/>
    <w:rsid w:val="00667B1D"/>
    <w:rsid w:val="00691498"/>
    <w:rsid w:val="00692D8B"/>
    <w:rsid w:val="006A2059"/>
    <w:rsid w:val="006B1686"/>
    <w:rsid w:val="006C26D5"/>
    <w:rsid w:val="00701125"/>
    <w:rsid w:val="007015CA"/>
    <w:rsid w:val="00733DCC"/>
    <w:rsid w:val="00736829"/>
    <w:rsid w:val="00742623"/>
    <w:rsid w:val="0077752C"/>
    <w:rsid w:val="0077788B"/>
    <w:rsid w:val="00790BB1"/>
    <w:rsid w:val="00797F0F"/>
    <w:rsid w:val="007A0D63"/>
    <w:rsid w:val="007A21ED"/>
    <w:rsid w:val="007D496B"/>
    <w:rsid w:val="007D7074"/>
    <w:rsid w:val="007F112B"/>
    <w:rsid w:val="007F27DE"/>
    <w:rsid w:val="007F32DE"/>
    <w:rsid w:val="007F3C0A"/>
    <w:rsid w:val="00801AA9"/>
    <w:rsid w:val="00803060"/>
    <w:rsid w:val="008710E5"/>
    <w:rsid w:val="00890C5B"/>
    <w:rsid w:val="00893571"/>
    <w:rsid w:val="008A6366"/>
    <w:rsid w:val="008D48CA"/>
    <w:rsid w:val="008E0A37"/>
    <w:rsid w:val="008F2E06"/>
    <w:rsid w:val="00902C17"/>
    <w:rsid w:val="00912FCA"/>
    <w:rsid w:val="00915256"/>
    <w:rsid w:val="00916DA7"/>
    <w:rsid w:val="009213AB"/>
    <w:rsid w:val="0092795B"/>
    <w:rsid w:val="00946518"/>
    <w:rsid w:val="009705AB"/>
    <w:rsid w:val="009860A8"/>
    <w:rsid w:val="00996662"/>
    <w:rsid w:val="009B0822"/>
    <w:rsid w:val="009C42FD"/>
    <w:rsid w:val="009C71CE"/>
    <w:rsid w:val="009E069E"/>
    <w:rsid w:val="009E1B8A"/>
    <w:rsid w:val="009E6C20"/>
    <w:rsid w:val="00A0188E"/>
    <w:rsid w:val="00A047E2"/>
    <w:rsid w:val="00A059EA"/>
    <w:rsid w:val="00A214F2"/>
    <w:rsid w:val="00A3078D"/>
    <w:rsid w:val="00A31102"/>
    <w:rsid w:val="00A3372A"/>
    <w:rsid w:val="00A43442"/>
    <w:rsid w:val="00A50A53"/>
    <w:rsid w:val="00A51DF6"/>
    <w:rsid w:val="00A52989"/>
    <w:rsid w:val="00A8360B"/>
    <w:rsid w:val="00A854DF"/>
    <w:rsid w:val="00AC6FBB"/>
    <w:rsid w:val="00AD294C"/>
    <w:rsid w:val="00AF3184"/>
    <w:rsid w:val="00AF35E4"/>
    <w:rsid w:val="00AF3C23"/>
    <w:rsid w:val="00B0250A"/>
    <w:rsid w:val="00B07088"/>
    <w:rsid w:val="00B16783"/>
    <w:rsid w:val="00B176CC"/>
    <w:rsid w:val="00B21B70"/>
    <w:rsid w:val="00B64D2B"/>
    <w:rsid w:val="00B825EA"/>
    <w:rsid w:val="00B83CD7"/>
    <w:rsid w:val="00BB3391"/>
    <w:rsid w:val="00BC039B"/>
    <w:rsid w:val="00BD7E0B"/>
    <w:rsid w:val="00BF1434"/>
    <w:rsid w:val="00BF424C"/>
    <w:rsid w:val="00C1362B"/>
    <w:rsid w:val="00C306C2"/>
    <w:rsid w:val="00C51726"/>
    <w:rsid w:val="00C73911"/>
    <w:rsid w:val="00C8194D"/>
    <w:rsid w:val="00CB17C7"/>
    <w:rsid w:val="00CC302B"/>
    <w:rsid w:val="00CD7B8E"/>
    <w:rsid w:val="00CE1C18"/>
    <w:rsid w:val="00CE2240"/>
    <w:rsid w:val="00CF3045"/>
    <w:rsid w:val="00D0068C"/>
    <w:rsid w:val="00D231DD"/>
    <w:rsid w:val="00D344ED"/>
    <w:rsid w:val="00D5514C"/>
    <w:rsid w:val="00D60FD0"/>
    <w:rsid w:val="00D71A54"/>
    <w:rsid w:val="00D72E3C"/>
    <w:rsid w:val="00D7379D"/>
    <w:rsid w:val="00D75FF5"/>
    <w:rsid w:val="00D7652D"/>
    <w:rsid w:val="00D76633"/>
    <w:rsid w:val="00DD038E"/>
    <w:rsid w:val="00DD706C"/>
    <w:rsid w:val="00DE6ABA"/>
    <w:rsid w:val="00DF7CB2"/>
    <w:rsid w:val="00E11664"/>
    <w:rsid w:val="00E142DA"/>
    <w:rsid w:val="00E40FE7"/>
    <w:rsid w:val="00E43489"/>
    <w:rsid w:val="00E533AC"/>
    <w:rsid w:val="00E5602D"/>
    <w:rsid w:val="00E61768"/>
    <w:rsid w:val="00E6352D"/>
    <w:rsid w:val="00E81511"/>
    <w:rsid w:val="00E86F7C"/>
    <w:rsid w:val="00E907D3"/>
    <w:rsid w:val="00E92388"/>
    <w:rsid w:val="00E9684F"/>
    <w:rsid w:val="00EB4B8D"/>
    <w:rsid w:val="00EB751A"/>
    <w:rsid w:val="00EC14A7"/>
    <w:rsid w:val="00EC2660"/>
    <w:rsid w:val="00EC74FB"/>
    <w:rsid w:val="00EE2429"/>
    <w:rsid w:val="00EF7646"/>
    <w:rsid w:val="00EF7723"/>
    <w:rsid w:val="00F1035E"/>
    <w:rsid w:val="00F158D0"/>
    <w:rsid w:val="00F27C1C"/>
    <w:rsid w:val="00F470F7"/>
    <w:rsid w:val="00F54779"/>
    <w:rsid w:val="00F62D62"/>
    <w:rsid w:val="00F75437"/>
    <w:rsid w:val="00F96E0A"/>
    <w:rsid w:val="00FB3608"/>
    <w:rsid w:val="00FC1014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E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1ECB"/>
    <w:rPr>
      <w:kern w:val="2"/>
    </w:rPr>
  </w:style>
  <w:style w:type="paragraph" w:styleId="a6">
    <w:name w:val="footer"/>
    <w:basedOn w:val="a"/>
    <w:link w:val="a7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1ECB"/>
    <w:rPr>
      <w:kern w:val="2"/>
    </w:rPr>
  </w:style>
  <w:style w:type="paragraph" w:styleId="a8">
    <w:name w:val="List Paragraph"/>
    <w:basedOn w:val="a"/>
    <w:uiPriority w:val="34"/>
    <w:qFormat/>
    <w:rsid w:val="008A6366"/>
    <w:pPr>
      <w:ind w:leftChars="200" w:left="480"/>
    </w:pPr>
  </w:style>
  <w:style w:type="paragraph" w:styleId="a9">
    <w:name w:val="Balloon Text"/>
    <w:basedOn w:val="a"/>
    <w:link w:val="aa"/>
    <w:rsid w:val="00D55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5514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BD7E0B"/>
    <w:rPr>
      <w:sz w:val="18"/>
      <w:szCs w:val="18"/>
    </w:rPr>
  </w:style>
  <w:style w:type="paragraph" w:styleId="ac">
    <w:name w:val="annotation text"/>
    <w:basedOn w:val="a"/>
    <w:link w:val="ad"/>
    <w:rsid w:val="00BD7E0B"/>
  </w:style>
  <w:style w:type="character" w:customStyle="1" w:styleId="ad">
    <w:name w:val="註解文字 字元"/>
    <w:basedOn w:val="a0"/>
    <w:link w:val="ac"/>
    <w:rsid w:val="00BD7E0B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D7E0B"/>
    <w:rPr>
      <w:b/>
      <w:bCs/>
    </w:rPr>
  </w:style>
  <w:style w:type="character" w:customStyle="1" w:styleId="af">
    <w:name w:val="註解主旨 字元"/>
    <w:basedOn w:val="ad"/>
    <w:link w:val="ae"/>
    <w:rsid w:val="00BD7E0B"/>
    <w:rPr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E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1ECB"/>
    <w:rPr>
      <w:kern w:val="2"/>
    </w:rPr>
  </w:style>
  <w:style w:type="paragraph" w:styleId="a6">
    <w:name w:val="footer"/>
    <w:basedOn w:val="a"/>
    <w:link w:val="a7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1ECB"/>
    <w:rPr>
      <w:kern w:val="2"/>
    </w:rPr>
  </w:style>
  <w:style w:type="paragraph" w:styleId="a8">
    <w:name w:val="List Paragraph"/>
    <w:basedOn w:val="a"/>
    <w:uiPriority w:val="34"/>
    <w:qFormat/>
    <w:rsid w:val="008A6366"/>
    <w:pPr>
      <w:ind w:leftChars="200" w:left="480"/>
    </w:pPr>
  </w:style>
  <w:style w:type="paragraph" w:styleId="a9">
    <w:name w:val="Balloon Text"/>
    <w:basedOn w:val="a"/>
    <w:link w:val="aa"/>
    <w:rsid w:val="00D55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5514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BD7E0B"/>
    <w:rPr>
      <w:sz w:val="18"/>
      <w:szCs w:val="18"/>
    </w:rPr>
  </w:style>
  <w:style w:type="paragraph" w:styleId="ac">
    <w:name w:val="annotation text"/>
    <w:basedOn w:val="a"/>
    <w:link w:val="ad"/>
    <w:rsid w:val="00BD7E0B"/>
  </w:style>
  <w:style w:type="character" w:customStyle="1" w:styleId="ad">
    <w:name w:val="註解文字 字元"/>
    <w:basedOn w:val="a0"/>
    <w:link w:val="ac"/>
    <w:rsid w:val="00BD7E0B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D7E0B"/>
    <w:rPr>
      <w:b/>
      <w:bCs/>
    </w:rPr>
  </w:style>
  <w:style w:type="character" w:customStyle="1" w:styleId="af">
    <w:name w:val="註解主旨 字元"/>
    <w:basedOn w:val="ad"/>
    <w:link w:val="ae"/>
    <w:rsid w:val="00BD7E0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94DE-D0DF-46BB-B8F5-4EA49FFD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965</Words>
  <Characters>32</Characters>
  <Application>Microsoft Office Word</Application>
  <DocSecurity>0</DocSecurity>
  <Lines>1</Lines>
  <Paragraphs>1</Paragraphs>
  <ScaleCrop>false</ScaleCrop>
  <Company>SYNNEX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tkms</dc:creator>
  <cp:lastModifiedBy>user</cp:lastModifiedBy>
  <cp:revision>4</cp:revision>
  <cp:lastPrinted>2014-07-21T03:42:00Z</cp:lastPrinted>
  <dcterms:created xsi:type="dcterms:W3CDTF">2015-01-29T08:28:00Z</dcterms:created>
  <dcterms:modified xsi:type="dcterms:W3CDTF">2015-01-29T08:43:00Z</dcterms:modified>
</cp:coreProperties>
</file>